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B49A8" w14:textId="22F0BE80" w:rsidR="00AC59F1" w:rsidRDefault="00916511" w:rsidP="00CC3469">
      <w:pPr>
        <w:pStyle w:val="MDPI11articletype"/>
        <w:spacing w:before="0" w:line="240" w:lineRule="atLeast"/>
        <w:ind w:left="1440" w:firstLine="0"/>
      </w:pPr>
      <w:r>
        <w:t xml:space="preserve"> </w:t>
      </w:r>
      <w:r w:rsidR="003920BF">
        <w:t xml:space="preserve"> </w:t>
      </w:r>
      <w:r w:rsidR="00CC3469" w:rsidRPr="00CC3469">
        <w:t>Researc</w:t>
      </w:r>
      <w:r w:rsidR="00CC3469">
        <w:t>h</w:t>
      </w:r>
      <w:r w:rsidR="00AD30DC" w:rsidRPr="00963192">
        <w:t xml:space="preserve"> Article</w:t>
      </w:r>
    </w:p>
    <w:p w14:paraId="2C45F537" w14:textId="484341A8" w:rsidR="00924C4F" w:rsidRPr="00924C4F" w:rsidRDefault="00924C4F" w:rsidP="006C6860">
      <w:pPr>
        <w:pStyle w:val="MDPI17abstract"/>
        <w:tabs>
          <w:tab w:val="left" w:pos="9900"/>
        </w:tabs>
        <w:spacing w:before="0" w:after="60" w:line="240" w:lineRule="auto"/>
        <w:ind w:left="1701" w:hanging="142"/>
        <w:rPr>
          <w:b/>
          <w:bCs/>
          <w:iCs/>
          <w:snapToGrid w:val="0"/>
          <w:sz w:val="36"/>
          <w:szCs w:val="36"/>
        </w:rPr>
      </w:pPr>
      <w:r w:rsidRPr="00924C4F">
        <w:rPr>
          <w:b/>
          <w:bCs/>
          <w:iCs/>
          <w:snapToGrid w:val="0"/>
          <w:sz w:val="36"/>
          <w:szCs w:val="36"/>
        </w:rPr>
        <w:t>Determining the antibacterial efficacy of Amoxicillin-</w:t>
      </w:r>
      <w:r w:rsidR="00F44663">
        <w:rPr>
          <w:b/>
          <w:bCs/>
          <w:iCs/>
          <w:snapToGrid w:val="0"/>
          <w:sz w:val="36"/>
          <w:szCs w:val="36"/>
        </w:rPr>
        <w:t>C</w:t>
      </w:r>
      <w:r w:rsidRPr="00924C4F">
        <w:rPr>
          <w:b/>
          <w:bCs/>
          <w:iCs/>
          <w:snapToGrid w:val="0"/>
          <w:sz w:val="36"/>
          <w:szCs w:val="36"/>
        </w:rPr>
        <w:t xml:space="preserve">lavulanic acid (Augmentin®), Metronidazole and Ethanolic extract of </w:t>
      </w:r>
      <w:r w:rsidRPr="00924C4F">
        <w:rPr>
          <w:b/>
          <w:bCs/>
          <w:i/>
          <w:iCs/>
          <w:snapToGrid w:val="0"/>
          <w:sz w:val="36"/>
          <w:szCs w:val="36"/>
        </w:rPr>
        <w:t xml:space="preserve">Moringa oleifera L. </w:t>
      </w:r>
      <w:r w:rsidRPr="00924C4F">
        <w:rPr>
          <w:b/>
          <w:bCs/>
          <w:iCs/>
          <w:snapToGrid w:val="0"/>
          <w:sz w:val="36"/>
          <w:szCs w:val="36"/>
        </w:rPr>
        <w:t xml:space="preserve">against </w:t>
      </w:r>
      <w:r w:rsidR="009A2406" w:rsidRPr="00924C4F">
        <w:rPr>
          <w:b/>
          <w:bCs/>
          <w:iCs/>
          <w:snapToGrid w:val="0"/>
          <w:sz w:val="36"/>
          <w:szCs w:val="36"/>
        </w:rPr>
        <w:t>clinical</w:t>
      </w:r>
      <w:r w:rsidR="009A2406">
        <w:rPr>
          <w:b/>
          <w:bCs/>
          <w:iCs/>
          <w:snapToGrid w:val="0"/>
          <w:sz w:val="36"/>
          <w:szCs w:val="36"/>
        </w:rPr>
        <w:t>ly</w:t>
      </w:r>
      <w:r w:rsidR="00F202DF">
        <w:rPr>
          <w:b/>
          <w:bCs/>
          <w:iCs/>
          <w:snapToGrid w:val="0"/>
          <w:sz w:val="36"/>
          <w:szCs w:val="36"/>
        </w:rPr>
        <w:t xml:space="preserve"> </w:t>
      </w:r>
      <w:r w:rsidR="009A2406" w:rsidRPr="00924C4F">
        <w:rPr>
          <w:b/>
          <w:bCs/>
          <w:iCs/>
          <w:snapToGrid w:val="0"/>
          <w:sz w:val="36"/>
          <w:szCs w:val="36"/>
        </w:rPr>
        <w:t>isolated</w:t>
      </w:r>
      <w:r w:rsidR="009A2406">
        <w:rPr>
          <w:b/>
          <w:bCs/>
          <w:iCs/>
          <w:snapToGrid w:val="0"/>
          <w:sz w:val="36"/>
          <w:szCs w:val="36"/>
        </w:rPr>
        <w:t xml:space="preserve"> </w:t>
      </w:r>
      <w:r w:rsidRPr="00924C4F">
        <w:rPr>
          <w:b/>
          <w:bCs/>
          <w:i/>
          <w:iCs/>
          <w:snapToGrid w:val="0"/>
          <w:sz w:val="36"/>
          <w:szCs w:val="36"/>
        </w:rPr>
        <w:t>P</w:t>
      </w:r>
      <w:r w:rsidR="00EA6F96">
        <w:rPr>
          <w:b/>
          <w:bCs/>
          <w:i/>
          <w:iCs/>
          <w:snapToGrid w:val="0"/>
          <w:sz w:val="36"/>
          <w:szCs w:val="36"/>
        </w:rPr>
        <w:t>orphyromonas</w:t>
      </w:r>
      <w:r w:rsidRPr="00924C4F">
        <w:rPr>
          <w:b/>
          <w:bCs/>
          <w:i/>
          <w:iCs/>
          <w:snapToGrid w:val="0"/>
          <w:sz w:val="36"/>
          <w:szCs w:val="36"/>
        </w:rPr>
        <w:t xml:space="preserve"> gingivalis</w:t>
      </w:r>
      <w:r w:rsidR="007F3452">
        <w:rPr>
          <w:b/>
          <w:bCs/>
          <w:i/>
          <w:iCs/>
          <w:snapToGrid w:val="0"/>
          <w:sz w:val="36"/>
          <w:szCs w:val="36"/>
        </w:rPr>
        <w:t xml:space="preserve"> </w:t>
      </w:r>
      <w:r w:rsidRPr="00924C4F">
        <w:rPr>
          <w:b/>
          <w:bCs/>
          <w:iCs/>
          <w:snapToGrid w:val="0"/>
          <w:sz w:val="36"/>
          <w:szCs w:val="36"/>
        </w:rPr>
        <w:t>(</w:t>
      </w:r>
      <w:r w:rsidR="00F44663">
        <w:rPr>
          <w:b/>
          <w:bCs/>
          <w:iCs/>
          <w:snapToGrid w:val="0"/>
          <w:sz w:val="36"/>
          <w:szCs w:val="36"/>
        </w:rPr>
        <w:t>i</w:t>
      </w:r>
      <w:r w:rsidRPr="00924C4F">
        <w:rPr>
          <w:b/>
          <w:bCs/>
          <w:iCs/>
          <w:snapToGrid w:val="0"/>
          <w:sz w:val="36"/>
          <w:szCs w:val="36"/>
        </w:rPr>
        <w:t xml:space="preserve">n </w:t>
      </w:r>
      <w:r w:rsidR="00F44663">
        <w:rPr>
          <w:b/>
          <w:bCs/>
          <w:iCs/>
          <w:snapToGrid w:val="0"/>
          <w:sz w:val="36"/>
          <w:szCs w:val="36"/>
        </w:rPr>
        <w:t>v</w:t>
      </w:r>
      <w:r w:rsidRPr="00924C4F">
        <w:rPr>
          <w:b/>
          <w:bCs/>
          <w:iCs/>
          <w:snapToGrid w:val="0"/>
          <w:sz w:val="36"/>
          <w:szCs w:val="36"/>
        </w:rPr>
        <w:t>itro study)</w:t>
      </w:r>
      <w:r w:rsidR="00FE7BF6">
        <w:t xml:space="preserve"> </w:t>
      </w:r>
    </w:p>
    <w:p w14:paraId="7BBEC7F6" w14:textId="77777777" w:rsidR="00FB2C52" w:rsidRDefault="00FB2C52" w:rsidP="005D6451">
      <w:pPr>
        <w:pStyle w:val="MDPI17abstract"/>
        <w:tabs>
          <w:tab w:val="left" w:pos="9900"/>
        </w:tabs>
        <w:spacing w:before="0" w:after="60" w:line="240" w:lineRule="auto"/>
        <w:ind w:left="2592" w:right="0" w:firstLine="0"/>
        <w:rPr>
          <w:b/>
          <w:bCs/>
          <w:szCs w:val="20"/>
          <w:lang w:val="en-GB"/>
        </w:rPr>
      </w:pPr>
    </w:p>
    <w:p w14:paraId="3E304887" w14:textId="7869F723" w:rsidR="00FE7BF6" w:rsidRPr="003920BF" w:rsidRDefault="00924C4F" w:rsidP="001C0176">
      <w:pPr>
        <w:pStyle w:val="MDPI17abstract"/>
        <w:tabs>
          <w:tab w:val="left" w:pos="2592"/>
          <w:tab w:val="left" w:pos="9900"/>
        </w:tabs>
        <w:spacing w:before="0" w:after="60" w:line="240" w:lineRule="auto"/>
        <w:ind w:left="2592" w:right="476" w:hanging="72"/>
        <w:rPr>
          <w:rFonts w:ascii="Times New Roman" w:eastAsia="Calibri" w:hAnsi="Times New Roman"/>
          <w:b/>
          <w:bCs/>
          <w:color w:val="auto"/>
          <w:sz w:val="24"/>
          <w:szCs w:val="24"/>
          <w:lang w:eastAsia="en-US"/>
        </w:rPr>
      </w:pPr>
      <w:r w:rsidRPr="003920BF">
        <w:rPr>
          <w:b/>
          <w:bCs/>
          <w:sz w:val="24"/>
          <w:szCs w:val="24"/>
          <w:lang w:val="en-GB"/>
        </w:rPr>
        <w:t>Firas Bashir</w:t>
      </w:r>
      <w:r w:rsidR="00FF7777" w:rsidRPr="003920BF">
        <w:rPr>
          <w:b/>
          <w:bCs/>
          <w:sz w:val="24"/>
          <w:szCs w:val="24"/>
          <w:lang w:val="en-GB"/>
        </w:rPr>
        <w:t xml:space="preserve"> Hashim</w:t>
      </w:r>
      <w:r w:rsidRPr="003920BF">
        <w:rPr>
          <w:b/>
          <w:bCs/>
          <w:sz w:val="24"/>
          <w:szCs w:val="24"/>
          <w:lang w:val="en-GB"/>
        </w:rPr>
        <w:t xml:space="preserve"> Al-Taweel</w:t>
      </w:r>
      <w:r w:rsidRPr="003920BF">
        <w:rPr>
          <w:b/>
          <w:bCs/>
          <w:sz w:val="24"/>
          <w:szCs w:val="24"/>
        </w:rPr>
        <w:t xml:space="preserve"> </w:t>
      </w:r>
      <w:r w:rsidR="009734B5" w:rsidRPr="003920BF">
        <w:rPr>
          <w:noProof/>
          <w:sz w:val="24"/>
          <w:szCs w:val="24"/>
          <w:lang w:eastAsia="en-US"/>
        </w:rPr>
        <w:drawing>
          <wp:inline distT="0" distB="0" distL="0" distR="0" wp14:anchorId="7E33388F" wp14:editId="78C227E4">
            <wp:extent cx="137160" cy="137160"/>
            <wp:effectExtent l="0" t="0" r="0" b="0"/>
            <wp:docPr id="5" name="Picture 5">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496B44" w:rsidRPr="003920BF">
        <w:rPr>
          <w:b/>
          <w:bCs/>
          <w:noProof/>
          <w:sz w:val="24"/>
          <w:szCs w:val="24"/>
          <w:lang w:eastAsia="en-US"/>
        </w:rPr>
        <w:drawing>
          <wp:inline distT="0" distB="0" distL="0" distR="0" wp14:anchorId="3C95736A" wp14:editId="2DE06CA7">
            <wp:extent cx="143823" cy="137160"/>
            <wp:effectExtent l="0" t="0" r="8890" b="0"/>
            <wp:docPr id="12" name="Picture 1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3" cy="137160"/>
                    </a:xfrm>
                    <a:prstGeom prst="rect">
                      <a:avLst/>
                    </a:prstGeom>
                    <a:noFill/>
                  </pic:spPr>
                </pic:pic>
              </a:graphicData>
            </a:graphic>
          </wp:inline>
        </w:drawing>
      </w:r>
      <w:r w:rsidR="00916511" w:rsidRPr="003920BF">
        <w:rPr>
          <w:rFonts w:ascii="Times New Roman"/>
          <w:b/>
          <w:bCs/>
          <w:sz w:val="24"/>
          <w:szCs w:val="24"/>
          <w:vertAlign w:val="superscript"/>
        </w:rPr>
        <w:t>1</w:t>
      </w:r>
      <w:r w:rsidR="00201A7D">
        <w:rPr>
          <w:b/>
          <w:bCs/>
          <w:sz w:val="24"/>
          <w:szCs w:val="24"/>
        </w:rPr>
        <w:t>*</w:t>
      </w:r>
      <w:r w:rsidR="00FE7BF6" w:rsidRPr="003920BF">
        <w:rPr>
          <w:rFonts w:eastAsia="Calibri"/>
          <w:b/>
          <w:bCs/>
          <w:color w:val="auto"/>
          <w:sz w:val="24"/>
          <w:szCs w:val="24"/>
          <w:lang w:eastAsia="en-US"/>
        </w:rPr>
        <w:t>,</w:t>
      </w:r>
      <w:r w:rsidR="00FE7BF6" w:rsidRPr="003920BF">
        <w:rPr>
          <w:sz w:val="24"/>
          <w:szCs w:val="24"/>
        </w:rPr>
        <w:t xml:space="preserve"> </w:t>
      </w:r>
      <w:r w:rsidRPr="003920BF">
        <w:rPr>
          <w:rFonts w:eastAsia="Calibri"/>
          <w:b/>
          <w:bCs/>
          <w:color w:val="auto"/>
          <w:sz w:val="24"/>
          <w:szCs w:val="24"/>
          <w:lang w:val="en-GB" w:eastAsia="en-US"/>
        </w:rPr>
        <w:t>Ali Faisal Madhloom</w:t>
      </w:r>
      <w:r w:rsidRPr="003920BF">
        <w:rPr>
          <w:rFonts w:eastAsia="Calibri"/>
          <w:b/>
          <w:bCs/>
          <w:color w:val="auto"/>
          <w:sz w:val="24"/>
          <w:szCs w:val="24"/>
          <w:lang w:eastAsia="en-US"/>
        </w:rPr>
        <w:t xml:space="preserve"> </w:t>
      </w:r>
      <w:r w:rsidR="009734B5" w:rsidRPr="003920BF">
        <w:rPr>
          <w:noProof/>
          <w:sz w:val="24"/>
          <w:szCs w:val="24"/>
          <w:lang w:eastAsia="en-US"/>
        </w:rPr>
        <w:drawing>
          <wp:inline distT="0" distB="0" distL="0" distR="0" wp14:anchorId="04B984DC" wp14:editId="5FF6BA31">
            <wp:extent cx="137160" cy="137160"/>
            <wp:effectExtent l="0" t="0" r="0" b="0"/>
            <wp:docPr id="7" name="Picture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2"/>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AD3F0F" w:rsidRPr="003920BF">
        <w:rPr>
          <w:b/>
          <w:bCs/>
          <w:noProof/>
          <w:sz w:val="24"/>
          <w:szCs w:val="24"/>
          <w:lang w:eastAsia="en-US"/>
        </w:rPr>
        <w:drawing>
          <wp:inline distT="0" distB="0" distL="0" distR="0" wp14:anchorId="6D556E26" wp14:editId="3D97A590">
            <wp:extent cx="142212" cy="137160"/>
            <wp:effectExtent l="0" t="0" r="0" b="0"/>
            <wp:docPr id="493608871" name="Picture 493608871">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08871" name="Picture 493608871">
                      <a:hlinkClick r:id="rId13"/>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212" cy="137160"/>
                    </a:xfrm>
                    <a:prstGeom prst="rect">
                      <a:avLst/>
                    </a:prstGeom>
                    <a:noFill/>
                  </pic:spPr>
                </pic:pic>
              </a:graphicData>
            </a:graphic>
          </wp:inline>
        </w:drawing>
      </w:r>
      <w:r w:rsidR="00916511" w:rsidRPr="003920BF">
        <w:rPr>
          <w:rFonts w:eastAsia="Calibri"/>
          <w:b/>
          <w:bCs/>
          <w:color w:val="auto"/>
          <w:sz w:val="24"/>
          <w:szCs w:val="24"/>
          <w:vertAlign w:val="superscript"/>
          <w:lang w:eastAsia="en-US"/>
        </w:rPr>
        <w:t>2</w:t>
      </w:r>
      <w:r w:rsidR="00D36181" w:rsidRPr="003920BF">
        <w:rPr>
          <w:rFonts w:eastAsia="Calibri"/>
          <w:b/>
          <w:bCs/>
          <w:color w:val="auto"/>
          <w:sz w:val="24"/>
          <w:szCs w:val="24"/>
          <w:lang w:eastAsia="en-US"/>
        </w:rPr>
        <w:t>,</w:t>
      </w:r>
      <w:r w:rsidR="00D36181" w:rsidRPr="003920BF">
        <w:rPr>
          <w:sz w:val="24"/>
          <w:szCs w:val="24"/>
        </w:rPr>
        <w:t xml:space="preserve"> </w:t>
      </w:r>
      <w:r w:rsidR="00D36181" w:rsidRPr="003920BF">
        <w:rPr>
          <w:rFonts w:eastAsia="Calibri"/>
          <w:b/>
          <w:bCs/>
          <w:color w:val="auto"/>
          <w:sz w:val="24"/>
          <w:szCs w:val="24"/>
          <w:lang w:eastAsia="en-US"/>
        </w:rPr>
        <w:t>Omar Hassan Soliman</w:t>
      </w:r>
      <w:r w:rsidR="00D36181" w:rsidRPr="003920BF">
        <w:rPr>
          <w:noProof/>
          <w:sz w:val="24"/>
          <w:szCs w:val="24"/>
          <w:lang w:eastAsia="en-US"/>
        </w:rPr>
        <w:drawing>
          <wp:inline distT="0" distB="0" distL="0" distR="0" wp14:anchorId="51132ECB" wp14:editId="563F346C">
            <wp:extent cx="137160" cy="137160"/>
            <wp:effectExtent l="0" t="0" r="0" b="0"/>
            <wp:docPr id="6" name="Picture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4"/>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 cy="137160"/>
                    </a:xfrm>
                    <a:prstGeom prst="rect">
                      <a:avLst/>
                    </a:prstGeom>
                    <a:noFill/>
                    <a:ln>
                      <a:noFill/>
                    </a:ln>
                  </pic:spPr>
                </pic:pic>
              </a:graphicData>
            </a:graphic>
          </wp:inline>
        </w:drawing>
      </w:r>
      <w:r w:rsidR="0054740E" w:rsidRPr="003920BF">
        <w:rPr>
          <w:b/>
          <w:bCs/>
          <w:noProof/>
          <w:sz w:val="24"/>
          <w:szCs w:val="24"/>
          <w:lang w:eastAsia="en-US"/>
        </w:rPr>
        <w:drawing>
          <wp:inline distT="0" distB="0" distL="0" distR="0" wp14:anchorId="59246B83" wp14:editId="39A0508E">
            <wp:extent cx="139404" cy="137160"/>
            <wp:effectExtent l="0" t="0" r="0" b="0"/>
            <wp:docPr id="1505597387" name="Picture 150559738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97387" name="Picture 1505597387">
                      <a:hlinkClick r:id="rId15"/>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404" cy="137160"/>
                    </a:xfrm>
                    <a:prstGeom prst="rect">
                      <a:avLst/>
                    </a:prstGeom>
                    <a:noFill/>
                  </pic:spPr>
                </pic:pic>
              </a:graphicData>
            </a:graphic>
          </wp:inline>
        </w:drawing>
      </w:r>
      <w:r w:rsidR="00D36181" w:rsidRPr="003920BF">
        <w:rPr>
          <w:rFonts w:ascii="Times New Roman" w:eastAsia="Calibri" w:hAnsi="Times New Roman"/>
          <w:b/>
          <w:bCs/>
          <w:color w:val="auto"/>
          <w:sz w:val="24"/>
          <w:szCs w:val="24"/>
          <w:vertAlign w:val="superscript"/>
          <w:lang w:eastAsia="en-US"/>
        </w:rPr>
        <w:t>3</w:t>
      </w:r>
    </w:p>
    <w:p w14:paraId="5D5B2E45" w14:textId="64B74A3C" w:rsidR="00FE7BF6" w:rsidRPr="00FE7BF6" w:rsidRDefault="00FE7BF6" w:rsidP="005D6451">
      <w:pPr>
        <w:tabs>
          <w:tab w:val="left" w:pos="9900"/>
        </w:tabs>
        <w:adjustRightInd w:val="0"/>
        <w:snapToGrid w:val="0"/>
        <w:ind w:left="2592"/>
        <w:rPr>
          <w:sz w:val="16"/>
          <w:szCs w:val="16"/>
          <w:lang w:val="en-GB" w:eastAsia="de-DE" w:bidi="en-US"/>
        </w:rPr>
      </w:pPr>
      <w:r w:rsidRPr="00916511">
        <w:rPr>
          <w:sz w:val="16"/>
          <w:szCs w:val="16"/>
          <w:lang w:eastAsia="de-DE" w:bidi="en-US"/>
        </w:rPr>
        <w:t>1</w:t>
      </w:r>
      <w:r w:rsidRPr="00FE7BF6">
        <w:rPr>
          <w:sz w:val="16"/>
          <w:szCs w:val="16"/>
          <w:lang w:eastAsia="de-DE" w:bidi="en-US"/>
        </w:rPr>
        <w:t xml:space="preserve"> Department of </w:t>
      </w:r>
      <w:r w:rsidR="00577052">
        <w:rPr>
          <w:sz w:val="16"/>
          <w:szCs w:val="16"/>
          <w:lang w:eastAsia="de-DE" w:bidi="en-US"/>
        </w:rPr>
        <w:t>Periodontics</w:t>
      </w:r>
      <w:r w:rsidRPr="00FE7BF6">
        <w:rPr>
          <w:sz w:val="16"/>
          <w:szCs w:val="16"/>
          <w:lang w:eastAsia="de-DE" w:bidi="en-US"/>
        </w:rPr>
        <w:t>, College of Dentistry</w:t>
      </w:r>
      <w:r w:rsidR="007A6708">
        <w:rPr>
          <w:sz w:val="16"/>
          <w:szCs w:val="16"/>
          <w:lang w:eastAsia="de-DE" w:bidi="en-US"/>
        </w:rPr>
        <w:t>,</w:t>
      </w:r>
      <w:r w:rsidRPr="00FE7BF6">
        <w:rPr>
          <w:sz w:val="16"/>
          <w:szCs w:val="16"/>
          <w:lang w:eastAsia="de-DE" w:bidi="en-US"/>
        </w:rPr>
        <w:t xml:space="preserve"> University of Baghdad, Baghdad, Iraq</w:t>
      </w:r>
      <w:r w:rsidRPr="00FE7BF6">
        <w:rPr>
          <w:sz w:val="16"/>
          <w:szCs w:val="16"/>
          <w:vertAlign w:val="superscript"/>
          <w:lang w:eastAsia="de-DE" w:bidi="en-US"/>
        </w:rPr>
        <w:t xml:space="preserve">  </w:t>
      </w:r>
    </w:p>
    <w:p w14:paraId="44D77F49" w14:textId="3A52F3CD" w:rsidR="00577052" w:rsidRDefault="00916511" w:rsidP="00FB2C52">
      <w:pPr>
        <w:pBdr>
          <w:top w:val="nil"/>
          <w:left w:val="nil"/>
          <w:bottom w:val="nil"/>
          <w:right w:val="nil"/>
          <w:between w:val="nil"/>
          <w:bar w:val="nil"/>
        </w:pBdr>
        <w:ind w:left="2592"/>
        <w:rPr>
          <w:rFonts w:ascii="Palatino Linotype" w:hAnsi="Palatino Linotype"/>
          <w:color w:val="000000"/>
          <w:sz w:val="16"/>
          <w:szCs w:val="16"/>
          <w:u w:color="000000"/>
          <w:bdr w:val="nil"/>
          <w14:textOutline w14:w="0" w14:cap="flat" w14:cmpd="sng" w14:algn="ctr">
            <w14:noFill/>
            <w14:prstDash w14:val="solid"/>
            <w14:bevel/>
          </w14:textOutline>
        </w:rPr>
      </w:pPr>
      <w:r w:rsidRPr="00916511">
        <w:rPr>
          <w:sz w:val="16"/>
          <w:szCs w:val="16"/>
          <w:u w:color="000000"/>
          <w:bdr w:val="nil"/>
          <w14:textOutline w14:w="0" w14:cap="flat" w14:cmpd="sng" w14:algn="ctr">
            <w14:noFill/>
            <w14:prstDash w14:val="solid"/>
            <w14:bevel/>
          </w14:textOutline>
        </w:rPr>
        <w:t>2</w:t>
      </w:r>
      <w:r w:rsidR="00FE7BF6" w:rsidRPr="00FE7BF6">
        <w:rPr>
          <w:rFonts w:eastAsia="Palatino Linotype" w:cs="Palatino Linotype"/>
          <w:u w:color="000000"/>
          <w:bdr w:val="nil"/>
          <w14:textOutline w14:w="0" w14:cap="flat" w14:cmpd="sng" w14:algn="ctr">
            <w14:noFill/>
            <w14:prstDash w14:val="solid"/>
            <w14:bevel/>
          </w14:textOutline>
        </w:rPr>
        <w:t xml:space="preserve"> </w:t>
      </w:r>
      <w:r w:rsidR="00577052" w:rsidRPr="00577052">
        <w:rPr>
          <w:rFonts w:ascii="Palatino Linotype" w:hAnsi="Palatino Linotype"/>
          <w:color w:val="000000"/>
          <w:sz w:val="16"/>
          <w:szCs w:val="16"/>
          <w:u w:color="000000"/>
          <w:bdr w:val="nil"/>
          <w14:textOutline w14:w="0" w14:cap="flat" w14:cmpd="sng" w14:algn="ctr">
            <w14:noFill/>
            <w14:prstDash w14:val="solid"/>
            <w14:bevel/>
          </w14:textOutline>
        </w:rPr>
        <w:t xml:space="preserve">College of Dentistry, University of </w:t>
      </w:r>
      <w:proofErr w:type="spellStart"/>
      <w:r w:rsidR="00577052" w:rsidRPr="00577052">
        <w:rPr>
          <w:rFonts w:ascii="Palatino Linotype" w:hAnsi="Palatino Linotype"/>
          <w:color w:val="000000"/>
          <w:sz w:val="16"/>
          <w:szCs w:val="16"/>
          <w:u w:color="000000"/>
          <w:bdr w:val="nil"/>
          <w14:textOutline w14:w="0" w14:cap="flat" w14:cmpd="sng" w14:algn="ctr">
            <w14:noFill/>
            <w14:prstDash w14:val="solid"/>
            <w14:bevel/>
          </w14:textOutline>
        </w:rPr>
        <w:t>AlKafeel</w:t>
      </w:r>
      <w:proofErr w:type="spellEnd"/>
      <w:r w:rsidR="00577052" w:rsidRPr="00577052">
        <w:rPr>
          <w:rFonts w:ascii="Palatino Linotype" w:hAnsi="Palatino Linotype"/>
          <w:color w:val="000000"/>
          <w:sz w:val="16"/>
          <w:szCs w:val="16"/>
          <w:u w:color="000000"/>
          <w:bdr w:val="nil"/>
          <w14:textOutline w14:w="0" w14:cap="flat" w14:cmpd="sng" w14:algn="ctr">
            <w14:noFill/>
            <w14:prstDash w14:val="solid"/>
            <w14:bevel/>
          </w14:textOutline>
        </w:rPr>
        <w:t>, Najaf, Iraq</w:t>
      </w:r>
    </w:p>
    <w:p w14:paraId="1B5FCB01" w14:textId="007160E9" w:rsidR="00D36181" w:rsidRPr="00577052" w:rsidRDefault="00D36181" w:rsidP="00FB2C52">
      <w:pPr>
        <w:pBdr>
          <w:top w:val="nil"/>
          <w:left w:val="nil"/>
          <w:bottom w:val="nil"/>
          <w:right w:val="nil"/>
          <w:between w:val="nil"/>
          <w:bar w:val="nil"/>
        </w:pBdr>
        <w:ind w:left="2592"/>
        <w:rPr>
          <w:rFonts w:ascii="Palatino Linotype" w:hAnsi="Palatino Linotype"/>
          <w:color w:val="000000"/>
          <w:sz w:val="16"/>
          <w:szCs w:val="16"/>
          <w:u w:color="000000"/>
          <w:bdr w:val="nil"/>
          <w14:textOutline w14:w="0" w14:cap="flat" w14:cmpd="sng" w14:algn="ctr">
            <w14:noFill/>
            <w14:prstDash w14:val="solid"/>
            <w14:bevel/>
          </w14:textOutline>
        </w:rPr>
      </w:pPr>
      <w:r>
        <w:rPr>
          <w:rFonts w:ascii="Palatino Linotype" w:hAnsi="Palatino Linotype"/>
          <w:color w:val="000000"/>
          <w:sz w:val="16"/>
          <w:szCs w:val="16"/>
          <w:u w:color="000000"/>
          <w:bdr w:val="nil"/>
          <w14:textOutline w14:w="0" w14:cap="flat" w14:cmpd="sng" w14:algn="ctr">
            <w14:noFill/>
            <w14:prstDash w14:val="solid"/>
            <w14:bevel/>
          </w14:textOutline>
        </w:rPr>
        <w:t xml:space="preserve">3 </w:t>
      </w:r>
      <w:r w:rsidR="00821B49" w:rsidRPr="00821B49">
        <w:rPr>
          <w:rFonts w:ascii="Palatino Linotype" w:hAnsi="Palatino Linotype"/>
          <w:color w:val="000000"/>
          <w:sz w:val="16"/>
          <w:szCs w:val="16"/>
          <w:u w:color="000000"/>
          <w:bdr w:val="nil"/>
          <w14:textOutline w14:w="0" w14:cap="flat" w14:cmpd="sng" w14:algn="ctr">
            <w14:noFill/>
            <w14:prstDash w14:val="solid"/>
            <w14:bevel/>
          </w14:textOutline>
        </w:rPr>
        <w:t>Department of Oral Medicine, Periodontology and Oral Diagnosis, Faculty of oral and dental medicine, South Valley University, Egypt</w:t>
      </w:r>
    </w:p>
    <w:p w14:paraId="0DE254E9" w14:textId="3CF8DB82" w:rsidR="00577052" w:rsidRPr="00C310B5" w:rsidRDefault="008807E3" w:rsidP="003E44A0">
      <w:pPr>
        <w:pBdr>
          <w:top w:val="nil"/>
          <w:left w:val="nil"/>
          <w:bottom w:val="nil"/>
          <w:right w:val="nil"/>
          <w:between w:val="nil"/>
          <w:bar w:val="nil"/>
        </w:pBdr>
        <w:ind w:left="2592"/>
        <w:rPr>
          <w:sz w:val="20"/>
          <w:szCs w:val="20"/>
        </w:rPr>
      </w:pPr>
      <w:r>
        <w:rPr>
          <w:rFonts w:eastAsia="Palatino Linotype" w:cs="Palatino Linotype"/>
          <w:b/>
          <w:bCs/>
          <w:sz w:val="16"/>
          <w:szCs w:val="16"/>
          <w:u w:color="000000"/>
          <w:bdr w:val="nil"/>
          <w14:textOutline w14:w="0" w14:cap="flat" w14:cmpd="sng" w14:algn="ctr">
            <w14:noFill/>
            <w14:prstDash w14:val="solid"/>
            <w14:bevel/>
          </w14:textOutline>
        </w:rPr>
        <w:t>*</w:t>
      </w:r>
      <w:r>
        <w:rPr>
          <w:rFonts w:eastAsia="Palatino Linotype" w:cs="Palatino Linotype"/>
          <w:sz w:val="16"/>
          <w:szCs w:val="16"/>
          <w:u w:color="000000"/>
          <w:bdr w:val="nil"/>
          <w14:textOutline w14:w="0" w14:cap="flat" w14:cmpd="sng" w14:algn="ctr">
            <w14:noFill/>
            <w14:prstDash w14:val="solid"/>
            <w14:bevel/>
          </w14:textOutline>
        </w:rPr>
        <w:t>Corresponding</w:t>
      </w:r>
      <w:r w:rsidR="00577052">
        <w:rPr>
          <w:rFonts w:eastAsia="Palatino Linotype" w:cs="Palatino Linotype"/>
          <w:sz w:val="16"/>
          <w:szCs w:val="16"/>
          <w:u w:color="000000"/>
          <w:bdr w:val="nil"/>
          <w14:textOutline w14:w="0" w14:cap="flat" w14:cmpd="sng" w14:algn="ctr">
            <w14:noFill/>
            <w14:prstDash w14:val="solid"/>
            <w14:bevel/>
          </w14:textOutline>
        </w:rPr>
        <w:t xml:space="preserve"> </w:t>
      </w:r>
      <w:r>
        <w:rPr>
          <w:rFonts w:eastAsia="Palatino Linotype" w:cs="Palatino Linotype"/>
          <w:sz w:val="16"/>
          <w:szCs w:val="16"/>
          <w:u w:color="000000"/>
          <w:bdr w:val="nil"/>
          <w14:textOutline w14:w="0" w14:cap="flat" w14:cmpd="sng" w14:algn="ctr">
            <w14:noFill/>
            <w14:prstDash w14:val="solid"/>
            <w14:bevel/>
          </w14:textOutline>
        </w:rPr>
        <w:t xml:space="preserve">author: </w:t>
      </w:r>
      <w:hyperlink r:id="rId16" w:history="1">
        <w:r w:rsidR="00577052" w:rsidRPr="00577052">
          <w:rPr>
            <w:rStyle w:val="Hyperlink"/>
            <w:sz w:val="16"/>
            <w:szCs w:val="16"/>
          </w:rPr>
          <w:t>Firas.basheer@codental.uobaghdad.edu.iq</w:t>
        </w:r>
      </w:hyperlink>
    </w:p>
    <w:tbl>
      <w:tblPr>
        <w:tblpPr w:leftFromText="198" w:rightFromText="198" w:vertAnchor="page" w:horzAnchor="margin" w:tblpY="6527"/>
        <w:tblW w:w="2070" w:type="dxa"/>
        <w:tblLayout w:type="fixed"/>
        <w:tblCellMar>
          <w:left w:w="0" w:type="dxa"/>
          <w:right w:w="0" w:type="dxa"/>
        </w:tblCellMar>
        <w:tblLook w:val="04A0" w:firstRow="1" w:lastRow="0" w:firstColumn="1" w:lastColumn="0" w:noHBand="0" w:noVBand="1"/>
      </w:tblPr>
      <w:tblGrid>
        <w:gridCol w:w="2070"/>
      </w:tblGrid>
      <w:tr w:rsidR="00A319FC" w:rsidRPr="00FE7BF6" w14:paraId="4ACC50E1" w14:textId="77777777" w:rsidTr="00245D6D">
        <w:trPr>
          <w:trHeight w:val="4709"/>
        </w:trPr>
        <w:tc>
          <w:tcPr>
            <w:tcW w:w="2070" w:type="dxa"/>
          </w:tcPr>
          <w:p w14:paraId="18FE3EA4" w14:textId="77777777" w:rsidR="00A319FC" w:rsidRPr="00916511" w:rsidRDefault="00A319FC" w:rsidP="00A319FC">
            <w:pPr>
              <w:pStyle w:val="MDPI14history"/>
              <w:ind w:left="0" w:firstLine="0"/>
              <w:jc w:val="both"/>
              <w:rPr>
                <w:rFonts w:eastAsia="SimSun" w:cs="SimSun"/>
                <w:b/>
                <w:bCs/>
              </w:rPr>
            </w:pPr>
            <w:r w:rsidRPr="00916511">
              <w:rPr>
                <w:b/>
                <w:bCs/>
                <w:szCs w:val="14"/>
              </w:rPr>
              <w:t xml:space="preserve">Received date: </w:t>
            </w:r>
            <w:r>
              <w:rPr>
                <w:b/>
                <w:bCs/>
                <w:szCs w:val="14"/>
              </w:rPr>
              <w:t>04</w:t>
            </w:r>
            <w:r w:rsidRPr="00916511">
              <w:rPr>
                <w:b/>
                <w:bCs/>
                <w:szCs w:val="14"/>
              </w:rPr>
              <w:t>-</w:t>
            </w:r>
            <w:r>
              <w:rPr>
                <w:b/>
                <w:bCs/>
                <w:szCs w:val="14"/>
              </w:rPr>
              <w:t>10</w:t>
            </w:r>
            <w:r w:rsidRPr="00916511">
              <w:rPr>
                <w:b/>
                <w:bCs/>
                <w:szCs w:val="14"/>
              </w:rPr>
              <w:t>-202</w:t>
            </w:r>
            <w:r>
              <w:rPr>
                <w:b/>
                <w:bCs/>
                <w:szCs w:val="14"/>
              </w:rPr>
              <w:t>5</w:t>
            </w:r>
          </w:p>
          <w:p w14:paraId="6CB5D5D1" w14:textId="268AF165" w:rsidR="00A319FC" w:rsidRPr="00916511" w:rsidRDefault="00A319FC" w:rsidP="00A319FC">
            <w:pPr>
              <w:pStyle w:val="MDPI14history"/>
              <w:ind w:left="0" w:firstLine="0"/>
              <w:jc w:val="both"/>
              <w:rPr>
                <w:b/>
                <w:bCs/>
                <w:szCs w:val="14"/>
              </w:rPr>
            </w:pPr>
            <w:r w:rsidRPr="00916511">
              <w:rPr>
                <w:b/>
                <w:bCs/>
                <w:szCs w:val="14"/>
              </w:rPr>
              <w:t xml:space="preserve">Accepted date: </w:t>
            </w:r>
            <w:r w:rsidR="005E0025">
              <w:rPr>
                <w:b/>
                <w:bCs/>
                <w:szCs w:val="14"/>
                <w:lang w:bidi="ar-IQ"/>
              </w:rPr>
              <w:t>05</w:t>
            </w:r>
            <w:r w:rsidRPr="00916511">
              <w:rPr>
                <w:b/>
                <w:bCs/>
                <w:szCs w:val="14"/>
              </w:rPr>
              <w:t>-</w:t>
            </w:r>
            <w:r w:rsidR="005E0025">
              <w:rPr>
                <w:b/>
                <w:bCs/>
                <w:szCs w:val="14"/>
              </w:rPr>
              <w:t>11</w:t>
            </w:r>
            <w:r w:rsidRPr="00916511">
              <w:rPr>
                <w:b/>
                <w:bCs/>
                <w:szCs w:val="14"/>
              </w:rPr>
              <w:t>-202</w:t>
            </w:r>
            <w:r>
              <w:rPr>
                <w:b/>
                <w:bCs/>
                <w:szCs w:val="14"/>
              </w:rPr>
              <w:t>5</w:t>
            </w:r>
          </w:p>
          <w:p w14:paraId="16D8B4A1" w14:textId="77777777" w:rsidR="00A319FC" w:rsidRPr="00916511" w:rsidRDefault="00A319FC" w:rsidP="00A319FC">
            <w:pPr>
              <w:pStyle w:val="MDPI14history"/>
              <w:spacing w:after="120"/>
              <w:ind w:left="0" w:firstLine="0"/>
              <w:jc w:val="both"/>
              <w:rPr>
                <w:b/>
                <w:bCs/>
                <w:szCs w:val="14"/>
              </w:rPr>
            </w:pPr>
            <w:r>
              <w:rPr>
                <w:rFonts w:eastAsia="DengXian"/>
                <w:bCs/>
                <w:noProof/>
                <w:szCs w:val="14"/>
              </w:rPr>
              <w:drawing>
                <wp:anchor distT="0" distB="0" distL="114300" distR="114300" simplePos="0" relativeHeight="251665408" behindDoc="1" locked="0" layoutInCell="1" allowOverlap="1" wp14:anchorId="1B47A4CD" wp14:editId="268A16E1">
                  <wp:simplePos x="0" y="0"/>
                  <wp:positionH relativeFrom="column">
                    <wp:posOffset>0</wp:posOffset>
                  </wp:positionH>
                  <wp:positionV relativeFrom="paragraph">
                    <wp:posOffset>223520</wp:posOffset>
                  </wp:positionV>
                  <wp:extent cx="984250" cy="387350"/>
                  <wp:effectExtent l="0" t="0" r="6350" b="0"/>
                  <wp:wrapNone/>
                  <wp:docPr id="179132664" name="Picture 2" descr="A grey and black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32664" name="Picture 2" descr="A grey and black sign with a person in a circle&#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4250" cy="387350"/>
                          </a:xfrm>
                          <a:prstGeom prst="rect">
                            <a:avLst/>
                          </a:prstGeom>
                          <a:noFill/>
                        </pic:spPr>
                      </pic:pic>
                    </a:graphicData>
                  </a:graphic>
                </wp:anchor>
              </w:drawing>
            </w:r>
            <w:r w:rsidRPr="00916511">
              <w:rPr>
                <w:b/>
                <w:bCs/>
                <w:szCs w:val="14"/>
              </w:rPr>
              <w:t xml:space="preserve">Published date: </w:t>
            </w:r>
            <w:r>
              <w:rPr>
                <w:b/>
                <w:bCs/>
                <w:szCs w:val="14"/>
              </w:rPr>
              <w:t>15</w:t>
            </w:r>
            <w:r w:rsidRPr="00916511">
              <w:rPr>
                <w:b/>
                <w:bCs/>
                <w:szCs w:val="14"/>
              </w:rPr>
              <w:t>-</w:t>
            </w:r>
            <w:r>
              <w:rPr>
                <w:b/>
                <w:bCs/>
                <w:szCs w:val="14"/>
              </w:rPr>
              <w:t>12</w:t>
            </w:r>
            <w:r w:rsidRPr="00916511">
              <w:rPr>
                <w:b/>
                <w:bCs/>
                <w:szCs w:val="14"/>
              </w:rPr>
              <w:t>-202</w:t>
            </w:r>
            <w:r>
              <w:rPr>
                <w:b/>
                <w:bCs/>
                <w:szCs w:val="14"/>
              </w:rPr>
              <w:t>5</w:t>
            </w:r>
          </w:p>
          <w:p w14:paraId="12964827" w14:textId="77777777" w:rsidR="00A319FC" w:rsidRPr="00FE7BF6" w:rsidRDefault="00A319FC" w:rsidP="00A319FC">
            <w:pPr>
              <w:adjustRightInd w:val="0"/>
              <w:snapToGrid w:val="0"/>
              <w:spacing w:line="240" w:lineRule="atLeast"/>
              <w:ind w:right="113"/>
              <w:jc w:val="both"/>
              <w:rPr>
                <w:rFonts w:eastAsia="DengXian"/>
                <w:bCs/>
                <w:sz w:val="14"/>
                <w:szCs w:val="14"/>
                <w:lang w:bidi="en-US"/>
              </w:rPr>
            </w:pPr>
          </w:p>
          <w:p w14:paraId="2A5AB478" w14:textId="77777777" w:rsidR="00A319FC" w:rsidRDefault="00A319FC" w:rsidP="00A319FC">
            <w:pPr>
              <w:adjustRightInd w:val="0"/>
              <w:snapToGrid w:val="0"/>
              <w:spacing w:line="240" w:lineRule="atLeast"/>
              <w:ind w:right="113"/>
              <w:jc w:val="both"/>
              <w:rPr>
                <w:rFonts w:eastAsia="DengXian"/>
                <w:b/>
                <w:bCs/>
                <w:sz w:val="14"/>
                <w:szCs w:val="14"/>
                <w:lang w:bidi="en-US"/>
              </w:rPr>
            </w:pPr>
          </w:p>
          <w:p w14:paraId="74CA3130" w14:textId="77777777" w:rsidR="00A319FC" w:rsidRDefault="00A319FC" w:rsidP="00A319FC">
            <w:pPr>
              <w:adjustRightInd w:val="0"/>
              <w:snapToGrid w:val="0"/>
              <w:spacing w:line="240" w:lineRule="atLeast"/>
              <w:ind w:right="113"/>
              <w:jc w:val="both"/>
              <w:rPr>
                <w:rFonts w:eastAsia="DengXian"/>
                <w:b/>
                <w:bCs/>
                <w:sz w:val="14"/>
                <w:szCs w:val="14"/>
                <w:lang w:bidi="en-US"/>
              </w:rPr>
            </w:pPr>
          </w:p>
          <w:p w14:paraId="0BCDF73A" w14:textId="09F9B1B9" w:rsidR="00A319FC" w:rsidRPr="00245D6D" w:rsidRDefault="00245D6D" w:rsidP="00A319FC">
            <w:pPr>
              <w:adjustRightInd w:val="0"/>
              <w:snapToGrid w:val="0"/>
              <w:spacing w:line="240" w:lineRule="atLeast"/>
              <w:ind w:right="113"/>
              <w:jc w:val="both"/>
              <w:rPr>
                <w:rFonts w:eastAsia="DengXian"/>
                <w:sz w:val="14"/>
                <w:szCs w:val="14"/>
                <w:lang w:bidi="en-US"/>
              </w:rPr>
            </w:pPr>
            <w:r w:rsidRPr="00245D6D">
              <w:rPr>
                <w:rFonts w:eastAsia="DengXian"/>
                <w:sz w:val="14"/>
                <w:szCs w:val="14"/>
                <w:lang w:bidi="en-US"/>
              </w:rPr>
              <w:t xml:space="preserve">Copyright: © 2025 by the authors. Submitted for possible open access publication under the terms and conditions of the Creative Commons Attribution (CC BY) license </w:t>
            </w:r>
            <w:r w:rsidR="00A319FC" w:rsidRPr="00245D6D">
              <w:rPr>
                <w:rFonts w:eastAsia="DengXian"/>
                <w:sz w:val="14"/>
                <w:szCs w:val="14"/>
                <w:lang w:bidi="en-US"/>
              </w:rPr>
              <w:t>(</w:t>
            </w:r>
            <w:hyperlink r:id="rId18" w:history="1">
              <w:r w:rsidR="00A319FC" w:rsidRPr="00245D6D">
                <w:rPr>
                  <w:rStyle w:val="Hyperlink"/>
                  <w:rFonts w:eastAsia="DengXian"/>
                  <w:sz w:val="14"/>
                  <w:szCs w:val="14"/>
                  <w:lang w:bidi="en-US"/>
                </w:rPr>
                <w:t>https://creativecommons.org/licenses/by/4.0/</w:t>
              </w:r>
            </w:hyperlink>
            <w:r w:rsidR="00A319FC" w:rsidRPr="00245D6D">
              <w:rPr>
                <w:rFonts w:eastAsia="DengXian"/>
                <w:sz w:val="14"/>
                <w:szCs w:val="14"/>
                <w:lang w:bidi="en-US"/>
              </w:rPr>
              <w:t>).</w:t>
            </w:r>
          </w:p>
          <w:p w14:paraId="7792180D" w14:textId="77777777" w:rsidR="00A319FC" w:rsidRDefault="00A319FC" w:rsidP="00A319FC">
            <w:pPr>
              <w:adjustRightInd w:val="0"/>
              <w:snapToGrid w:val="0"/>
              <w:spacing w:line="240" w:lineRule="atLeast"/>
              <w:ind w:right="113"/>
              <w:jc w:val="center"/>
              <w:rPr>
                <w:rFonts w:eastAsia="DengXian"/>
                <w:bCs/>
                <w:sz w:val="14"/>
                <w:szCs w:val="14"/>
                <w:lang w:bidi="en-US"/>
              </w:rPr>
            </w:pPr>
            <w:r w:rsidRPr="00DB21FE">
              <w:rPr>
                <w:rFonts w:eastAsia="DengXian"/>
                <w:b/>
                <w:color w:val="BF8F00"/>
                <w:lang w:bidi="en-US"/>
              </w:rPr>
              <w:t>Article DOI</w:t>
            </w:r>
          </w:p>
          <w:p w14:paraId="3AB19C77" w14:textId="77777777" w:rsidR="00A319FC" w:rsidRPr="00FE7BF6" w:rsidRDefault="00A319FC" w:rsidP="00A319FC">
            <w:pPr>
              <w:adjustRightInd w:val="0"/>
              <w:snapToGrid w:val="0"/>
              <w:spacing w:line="240" w:lineRule="atLeast"/>
              <w:ind w:right="113"/>
              <w:jc w:val="center"/>
              <w:rPr>
                <w:rFonts w:eastAsia="DengXian"/>
                <w:bCs/>
                <w:sz w:val="14"/>
                <w:szCs w:val="14"/>
                <w:lang w:bidi="en-US"/>
              </w:rPr>
            </w:pPr>
            <w:r>
              <w:rPr>
                <w:rFonts w:eastAsia="DengXian"/>
                <w:bCs/>
                <w:noProof/>
                <w:sz w:val="14"/>
                <w:szCs w:val="14"/>
                <w:lang w:bidi="en-US"/>
              </w:rPr>
              <w:drawing>
                <wp:inline distT="0" distB="0" distL="0" distR="0" wp14:anchorId="1A9C7761" wp14:editId="3155F165">
                  <wp:extent cx="914400" cy="914400"/>
                  <wp:effectExtent l="0" t="0" r="0" b="0"/>
                  <wp:docPr id="371919384" name="Picture 2"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919384" name="Picture 2" descr="A qr code on a white background&#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tc>
      </w:tr>
    </w:tbl>
    <w:p w14:paraId="40B513D6" w14:textId="77777777" w:rsidR="008153A9" w:rsidRDefault="00EA3514" w:rsidP="00305C8F">
      <w:pPr>
        <w:pStyle w:val="Body"/>
        <w:tabs>
          <w:tab w:val="left" w:pos="2977"/>
        </w:tabs>
        <w:ind w:left="2606" w:hanging="54"/>
        <w:contextualSpacing/>
        <w:rPr>
          <w:b/>
          <w:bCs/>
          <w:sz w:val="18"/>
          <w:szCs w:val="18"/>
          <w:lang w:val="de-DE"/>
        </w:rPr>
      </w:pPr>
      <w:r w:rsidRPr="00FE7BF6">
        <w:rPr>
          <w:rFonts w:hint="cs"/>
          <w:b/>
          <w:bCs/>
          <w:sz w:val="18"/>
          <w:szCs w:val="18"/>
          <w:rtl/>
          <w:lang w:val="de-DE"/>
        </w:rPr>
        <w:t xml:space="preserve">   </w:t>
      </w:r>
    </w:p>
    <w:p w14:paraId="692A426B" w14:textId="41A6C430" w:rsidR="00305C8F" w:rsidRPr="003F63BB" w:rsidRDefault="003920BF" w:rsidP="00305C8F">
      <w:pPr>
        <w:pStyle w:val="Body"/>
        <w:tabs>
          <w:tab w:val="left" w:pos="2977"/>
        </w:tabs>
        <w:ind w:left="2606" w:hanging="54"/>
        <w:contextualSpacing/>
        <w:rPr>
          <w:rFonts w:cs="Times New Roman"/>
          <w:sz w:val="18"/>
          <w:szCs w:val="18"/>
          <w:rtl/>
        </w:rPr>
      </w:pPr>
      <w:r>
        <w:rPr>
          <w:b/>
          <w:bCs/>
          <w:sz w:val="18"/>
          <w:szCs w:val="18"/>
          <w:lang w:val="de-DE"/>
        </w:rPr>
        <w:t xml:space="preserve">          </w:t>
      </w:r>
      <w:r w:rsidR="00BB618B">
        <w:rPr>
          <w:b/>
          <w:bCs/>
          <w:sz w:val="18"/>
          <w:szCs w:val="18"/>
          <w:lang w:val="de-DE"/>
        </w:rPr>
        <w:t>A</w:t>
      </w:r>
      <w:r w:rsidR="00676BA3" w:rsidRPr="00FE7BF6">
        <w:rPr>
          <w:b/>
          <w:bCs/>
          <w:sz w:val="18"/>
          <w:szCs w:val="18"/>
          <w:lang w:val="de-DE"/>
        </w:rPr>
        <w:t>bstract:</w:t>
      </w:r>
      <w:r w:rsidR="00676BA3" w:rsidRPr="00FE7BF6">
        <w:rPr>
          <w:b/>
          <w:bCs/>
          <w:sz w:val="24"/>
          <w:szCs w:val="24"/>
          <w:lang w:val="de-DE"/>
        </w:rPr>
        <w:t xml:space="preserve"> </w:t>
      </w:r>
      <w:r w:rsidR="00CC3469" w:rsidRPr="00376BE8">
        <w:rPr>
          <w:sz w:val="18"/>
          <w:szCs w:val="18"/>
        </w:rPr>
        <w:t xml:space="preserve">Background: </w:t>
      </w:r>
      <w:r w:rsidR="00577052" w:rsidRPr="00376BE8">
        <w:rPr>
          <w:sz w:val="18"/>
          <w:szCs w:val="18"/>
        </w:rPr>
        <w:t>Amoxicillin-clavulanic acid (Augmentin®)</w:t>
      </w:r>
      <w:r w:rsidR="003C7DF0" w:rsidRPr="00376BE8">
        <w:rPr>
          <w:sz w:val="18"/>
          <w:szCs w:val="18"/>
        </w:rPr>
        <w:t>,</w:t>
      </w:r>
      <w:r w:rsidR="00577052" w:rsidRPr="00376BE8">
        <w:rPr>
          <w:sz w:val="18"/>
          <w:szCs w:val="18"/>
        </w:rPr>
        <w:t xml:space="preserve"> Metronidazole</w:t>
      </w:r>
      <w:r w:rsidR="003C7DF0" w:rsidRPr="00376BE8">
        <w:rPr>
          <w:sz w:val="18"/>
          <w:szCs w:val="18"/>
        </w:rPr>
        <w:t>, Amoxil/Metro combination, and Azithromycin</w:t>
      </w:r>
      <w:r w:rsidR="00577052" w:rsidRPr="00376BE8">
        <w:rPr>
          <w:sz w:val="18"/>
          <w:szCs w:val="18"/>
        </w:rPr>
        <w:t xml:space="preserve"> are commonly utilized as adjunctive treatment of periodontitis. Moringa oleifera L</w:t>
      </w:r>
      <w:r w:rsidR="00AC0AC7" w:rsidRPr="00376BE8">
        <w:rPr>
          <w:sz w:val="18"/>
          <w:szCs w:val="18"/>
        </w:rPr>
        <w:t xml:space="preserve"> (Mo)</w:t>
      </w:r>
      <w:r w:rsidR="00577052" w:rsidRPr="00376BE8">
        <w:rPr>
          <w:sz w:val="18"/>
          <w:szCs w:val="18"/>
        </w:rPr>
        <w:t xml:space="preserve"> leaves extracts have demonstrated</w:t>
      </w:r>
      <w:r w:rsidR="003C7DF0" w:rsidRPr="00376BE8">
        <w:rPr>
          <w:sz w:val="18"/>
          <w:szCs w:val="18"/>
        </w:rPr>
        <w:t xml:space="preserve"> the ability</w:t>
      </w:r>
      <w:r w:rsidR="00577052" w:rsidRPr="00376BE8">
        <w:rPr>
          <w:sz w:val="18"/>
          <w:szCs w:val="18"/>
        </w:rPr>
        <w:t xml:space="preserve"> to inhibit the growth of </w:t>
      </w:r>
      <w:r w:rsidR="00D036A6" w:rsidRPr="00376BE8">
        <w:rPr>
          <w:sz w:val="18"/>
          <w:szCs w:val="18"/>
        </w:rPr>
        <w:t xml:space="preserve">facultative </w:t>
      </w:r>
      <w:r w:rsidR="00577052" w:rsidRPr="00376BE8">
        <w:rPr>
          <w:sz w:val="18"/>
          <w:szCs w:val="18"/>
        </w:rPr>
        <w:t>anaerob</w:t>
      </w:r>
      <w:r w:rsidR="00E955A4" w:rsidRPr="00376BE8">
        <w:rPr>
          <w:sz w:val="18"/>
          <w:szCs w:val="18"/>
        </w:rPr>
        <w:t>ic bacteria</w:t>
      </w:r>
      <w:r w:rsidR="00577052" w:rsidRPr="00376BE8">
        <w:rPr>
          <w:sz w:val="18"/>
          <w:szCs w:val="18"/>
        </w:rPr>
        <w:t xml:space="preserve"> including</w:t>
      </w:r>
      <w:r w:rsidR="007B33C4" w:rsidRPr="007B33C4">
        <w:t xml:space="preserve"> </w:t>
      </w:r>
      <w:r w:rsidR="007B33C4" w:rsidRPr="007B33C4">
        <w:rPr>
          <w:i/>
          <w:iCs/>
          <w:sz w:val="18"/>
          <w:szCs w:val="18"/>
        </w:rPr>
        <w:t>Porphyromonas. gingivalis</w:t>
      </w:r>
      <w:r w:rsidR="00577052" w:rsidRPr="007B33C4">
        <w:rPr>
          <w:i/>
          <w:iCs/>
          <w:sz w:val="18"/>
          <w:szCs w:val="18"/>
        </w:rPr>
        <w:t xml:space="preserve"> </w:t>
      </w:r>
      <w:r w:rsidR="007B33C4" w:rsidRPr="007B33C4">
        <w:rPr>
          <w:i/>
          <w:iCs/>
          <w:sz w:val="18"/>
          <w:szCs w:val="18"/>
        </w:rPr>
        <w:t>(</w:t>
      </w:r>
      <w:r w:rsidR="00577052" w:rsidRPr="007B33C4">
        <w:rPr>
          <w:i/>
          <w:iCs/>
          <w:sz w:val="18"/>
          <w:szCs w:val="18"/>
        </w:rPr>
        <w:t xml:space="preserve">P. </w:t>
      </w:r>
      <w:r w:rsidR="00EF4588" w:rsidRPr="007B33C4">
        <w:rPr>
          <w:i/>
          <w:iCs/>
          <w:sz w:val="18"/>
          <w:szCs w:val="18"/>
        </w:rPr>
        <w:t>gingivalis</w:t>
      </w:r>
      <w:r w:rsidR="007B33C4">
        <w:rPr>
          <w:i/>
          <w:iCs/>
          <w:sz w:val="18"/>
          <w:szCs w:val="18"/>
        </w:rPr>
        <w:t>)</w:t>
      </w:r>
      <w:r w:rsidR="00EF4588" w:rsidRPr="00376BE8">
        <w:rPr>
          <w:i/>
          <w:iCs/>
          <w:sz w:val="18"/>
          <w:szCs w:val="18"/>
        </w:rPr>
        <w:t>,</w:t>
      </w:r>
      <w:r w:rsidR="005D6451">
        <w:rPr>
          <w:i/>
          <w:iCs/>
          <w:sz w:val="18"/>
          <w:szCs w:val="18"/>
        </w:rPr>
        <w:t xml:space="preserve"> </w:t>
      </w:r>
      <w:r w:rsidR="00EB757E" w:rsidRPr="00EB757E">
        <w:rPr>
          <w:i/>
          <w:iCs/>
          <w:sz w:val="18"/>
          <w:szCs w:val="18"/>
        </w:rPr>
        <w:t>Escherichia coli</w:t>
      </w:r>
      <w:r w:rsidR="00EB757E">
        <w:rPr>
          <w:i/>
          <w:iCs/>
          <w:sz w:val="18"/>
          <w:szCs w:val="18"/>
        </w:rPr>
        <w:t xml:space="preserve">, </w:t>
      </w:r>
      <w:r w:rsidR="00660D0F" w:rsidRPr="00660D0F">
        <w:rPr>
          <w:i/>
          <w:iCs/>
          <w:sz w:val="18"/>
          <w:szCs w:val="18"/>
        </w:rPr>
        <w:t>Pseudomonas aeruginosa</w:t>
      </w:r>
      <w:r w:rsidR="00E955A4" w:rsidRPr="00376BE8">
        <w:rPr>
          <w:i/>
          <w:iCs/>
          <w:sz w:val="18"/>
          <w:szCs w:val="18"/>
        </w:rPr>
        <w:t xml:space="preserve">, </w:t>
      </w:r>
      <w:r w:rsidR="00246806" w:rsidRPr="00246806">
        <w:rPr>
          <w:i/>
          <w:iCs/>
          <w:sz w:val="18"/>
          <w:szCs w:val="18"/>
        </w:rPr>
        <w:t>Bacillus cereus</w:t>
      </w:r>
      <w:r w:rsidR="00D036A6" w:rsidRPr="00376BE8">
        <w:rPr>
          <w:i/>
          <w:iCs/>
          <w:sz w:val="18"/>
          <w:szCs w:val="18"/>
        </w:rPr>
        <w:t xml:space="preserve">, </w:t>
      </w:r>
      <w:r w:rsidR="005E1EC4" w:rsidRPr="005E1EC4">
        <w:rPr>
          <w:i/>
          <w:iCs/>
          <w:sz w:val="18"/>
          <w:szCs w:val="18"/>
        </w:rPr>
        <w:t xml:space="preserve">Shigella </w:t>
      </w:r>
      <w:proofErr w:type="spellStart"/>
      <w:r w:rsidR="005E1EC4" w:rsidRPr="005E1EC4">
        <w:rPr>
          <w:i/>
          <w:iCs/>
          <w:sz w:val="18"/>
          <w:szCs w:val="18"/>
        </w:rPr>
        <w:t>sonnei</w:t>
      </w:r>
      <w:proofErr w:type="spellEnd"/>
      <w:r w:rsidR="00E955A4" w:rsidRPr="00376BE8">
        <w:rPr>
          <w:i/>
          <w:iCs/>
          <w:sz w:val="18"/>
          <w:szCs w:val="18"/>
        </w:rPr>
        <w:t xml:space="preserve">, </w:t>
      </w:r>
      <w:r w:rsidR="008A3B52" w:rsidRPr="008A3B52">
        <w:rPr>
          <w:i/>
          <w:iCs/>
          <w:sz w:val="18"/>
          <w:szCs w:val="18"/>
        </w:rPr>
        <w:t>Staphylococcus aureus</w:t>
      </w:r>
      <w:r w:rsidR="00E955A4" w:rsidRPr="00376BE8">
        <w:rPr>
          <w:i/>
          <w:iCs/>
          <w:sz w:val="18"/>
          <w:szCs w:val="18"/>
        </w:rPr>
        <w:t xml:space="preserve">, </w:t>
      </w:r>
      <w:r w:rsidR="00F94B6F" w:rsidRPr="00F94B6F">
        <w:rPr>
          <w:i/>
          <w:iCs/>
          <w:sz w:val="18"/>
          <w:szCs w:val="18"/>
        </w:rPr>
        <w:t>Bacillus subtilis</w:t>
      </w:r>
      <w:r w:rsidR="00D036A6" w:rsidRPr="00376BE8">
        <w:rPr>
          <w:i/>
          <w:iCs/>
          <w:sz w:val="18"/>
          <w:szCs w:val="18"/>
        </w:rPr>
        <w:t xml:space="preserve">, </w:t>
      </w:r>
      <w:r w:rsidR="00B84698" w:rsidRPr="00B84698">
        <w:rPr>
          <w:i/>
          <w:iCs/>
          <w:sz w:val="18"/>
          <w:szCs w:val="18"/>
        </w:rPr>
        <w:t>Beta-hemolytic streptococcus</w:t>
      </w:r>
      <w:r w:rsidR="000642EF">
        <w:rPr>
          <w:i/>
          <w:iCs/>
          <w:sz w:val="18"/>
          <w:szCs w:val="18"/>
        </w:rPr>
        <w:t xml:space="preserve">, </w:t>
      </w:r>
      <w:r w:rsidR="000642EF" w:rsidRPr="000642EF">
        <w:rPr>
          <w:i/>
          <w:iCs/>
          <w:sz w:val="18"/>
          <w:szCs w:val="18"/>
        </w:rPr>
        <w:t xml:space="preserve">Bacillus megaterium </w:t>
      </w:r>
      <w:r w:rsidR="002F103C" w:rsidRPr="00376BE8">
        <w:rPr>
          <w:sz w:val="18"/>
          <w:szCs w:val="18"/>
        </w:rPr>
        <w:t>as well as</w:t>
      </w:r>
      <w:r w:rsidR="00577052" w:rsidRPr="00376BE8">
        <w:rPr>
          <w:sz w:val="18"/>
          <w:szCs w:val="18"/>
        </w:rPr>
        <w:t xml:space="preserve"> dental biofilm </w:t>
      </w:r>
      <w:r w:rsidR="002F103C" w:rsidRPr="00376BE8">
        <w:rPr>
          <w:sz w:val="18"/>
          <w:szCs w:val="18"/>
        </w:rPr>
        <w:t>development</w:t>
      </w:r>
      <w:r w:rsidR="00CC3469" w:rsidRPr="00376BE8">
        <w:rPr>
          <w:sz w:val="18"/>
          <w:szCs w:val="18"/>
        </w:rPr>
        <w:t xml:space="preserve">. Objectives: The present study was set out to </w:t>
      </w:r>
      <w:r w:rsidR="00577052" w:rsidRPr="00376BE8">
        <w:rPr>
          <w:sz w:val="18"/>
          <w:szCs w:val="18"/>
        </w:rPr>
        <w:t>determin</w:t>
      </w:r>
      <w:r w:rsidR="00CE08C1" w:rsidRPr="00376BE8">
        <w:rPr>
          <w:sz w:val="18"/>
          <w:szCs w:val="18"/>
        </w:rPr>
        <w:t>e</w:t>
      </w:r>
      <w:r w:rsidR="009D141E">
        <w:rPr>
          <w:sz w:val="18"/>
          <w:szCs w:val="18"/>
        </w:rPr>
        <w:t xml:space="preserve"> </w:t>
      </w:r>
      <w:r w:rsidR="009D141E" w:rsidRPr="00376BE8">
        <w:rPr>
          <w:sz w:val="18"/>
          <w:szCs w:val="18"/>
        </w:rPr>
        <w:t>the antibacterial</w:t>
      </w:r>
      <w:r w:rsidR="00305C8F">
        <w:rPr>
          <w:sz w:val="18"/>
          <w:szCs w:val="18"/>
        </w:rPr>
        <w:t xml:space="preserve"> </w:t>
      </w:r>
      <w:r w:rsidR="00305C8F" w:rsidRPr="00376BE8">
        <w:rPr>
          <w:sz w:val="18"/>
          <w:szCs w:val="18"/>
        </w:rPr>
        <w:t>efficacy of Amoxicillin-clavulanic acid (Augmentin®), Metronidazole and Ethanolic extract of Mo</w:t>
      </w:r>
      <w:r w:rsidR="00305C8F" w:rsidRPr="00376BE8">
        <w:rPr>
          <w:i/>
          <w:iCs/>
          <w:sz w:val="18"/>
          <w:szCs w:val="18"/>
        </w:rPr>
        <w:t xml:space="preserve"> </w:t>
      </w:r>
      <w:r w:rsidR="00305C8F" w:rsidRPr="00376BE8">
        <w:rPr>
          <w:sz w:val="18"/>
          <w:szCs w:val="18"/>
        </w:rPr>
        <w:t xml:space="preserve">leaves against </w:t>
      </w:r>
      <w:r w:rsidR="00305C8F" w:rsidRPr="00376BE8">
        <w:rPr>
          <w:i/>
          <w:iCs/>
          <w:sz w:val="18"/>
          <w:szCs w:val="18"/>
        </w:rPr>
        <w:t xml:space="preserve">P. gingivalis </w:t>
      </w:r>
      <w:r w:rsidR="00305C8F" w:rsidRPr="00376BE8">
        <w:rPr>
          <w:sz w:val="18"/>
          <w:szCs w:val="18"/>
        </w:rPr>
        <w:t xml:space="preserve">clinical isolate. Materials and Methods: The minimum inhibition concentrations (MIC), minimum bactericidal concentrations (MBC), and sensitivity of the clinical isolated </w:t>
      </w:r>
      <w:r w:rsidR="00305C8F" w:rsidRPr="00376BE8">
        <w:rPr>
          <w:i/>
          <w:iCs/>
          <w:sz w:val="18"/>
          <w:szCs w:val="18"/>
        </w:rPr>
        <w:t>P. gingivalis</w:t>
      </w:r>
      <w:r w:rsidR="00305C8F" w:rsidRPr="00376BE8">
        <w:rPr>
          <w:sz w:val="18"/>
          <w:szCs w:val="18"/>
        </w:rPr>
        <w:t xml:space="preserve"> against Mo ethanolic leaves extracts, Augmentin, and Metronidazole were determined using two-fold serial dilution, agar well diffusion, and disk diffusion, respectively. The gas chromatography–mass spectrometry (GC-MS) was used for phytochemical analysis of the Mo leaves extract using ethanol solvent. Results: </w:t>
      </w:r>
      <w:r w:rsidR="00305C8F" w:rsidRPr="00376BE8">
        <w:rPr>
          <w:i/>
          <w:iCs/>
          <w:sz w:val="18"/>
          <w:szCs w:val="18"/>
        </w:rPr>
        <w:t>P. gingivalis</w:t>
      </w:r>
      <w:r w:rsidR="00305C8F" w:rsidRPr="00376BE8">
        <w:rPr>
          <w:sz w:val="18"/>
          <w:szCs w:val="18"/>
        </w:rPr>
        <w:t xml:space="preserve"> exhibited inhibition to Mo leaves extract, while it demonstrated resistance to Augmentin and Metronidazole. MIC and MBC</w:t>
      </w:r>
      <w:r w:rsidR="00305C8F" w:rsidRPr="00577052">
        <w:rPr>
          <w:sz w:val="18"/>
          <w:szCs w:val="18"/>
        </w:rPr>
        <w:t xml:space="preserve"> of Mo leaves extract were found to be 0.78 mg/ml and 1.56 mg/ml against </w:t>
      </w:r>
      <w:r w:rsidR="00305C8F" w:rsidRPr="00577052">
        <w:rPr>
          <w:i/>
          <w:iCs/>
          <w:sz w:val="18"/>
          <w:szCs w:val="18"/>
        </w:rPr>
        <w:t>P. gingivalis,</w:t>
      </w:r>
      <w:r w:rsidR="00305C8F" w:rsidRPr="00577052">
        <w:rPr>
          <w:sz w:val="18"/>
          <w:szCs w:val="18"/>
        </w:rPr>
        <w:t xml:space="preserve"> respectively</w:t>
      </w:r>
      <w:r w:rsidR="00305C8F" w:rsidRPr="00FE7BF6">
        <w:rPr>
          <w:sz w:val="18"/>
          <w:szCs w:val="18"/>
        </w:rPr>
        <w:t>.</w:t>
      </w:r>
      <w:r w:rsidR="00305C8F">
        <w:rPr>
          <w:sz w:val="18"/>
          <w:szCs w:val="18"/>
        </w:rPr>
        <w:t xml:space="preserve"> </w:t>
      </w:r>
      <w:r w:rsidR="00305C8F" w:rsidRPr="005E2C3B">
        <w:rPr>
          <w:sz w:val="18"/>
          <w:szCs w:val="18"/>
        </w:rPr>
        <w:t xml:space="preserve">The extract had highest anti-biofilm effect at the minimum concentrations of </w:t>
      </w:r>
      <w:r w:rsidR="00305C8F">
        <w:rPr>
          <w:sz w:val="18"/>
          <w:szCs w:val="18"/>
        </w:rPr>
        <w:t>1.55</w:t>
      </w:r>
      <w:r w:rsidR="00305C8F" w:rsidRPr="005E2C3B">
        <w:rPr>
          <w:sz w:val="18"/>
          <w:szCs w:val="18"/>
        </w:rPr>
        <w:t xml:space="preserve"> mg/ml</w:t>
      </w:r>
      <w:r w:rsidR="00305C8F">
        <w:rPr>
          <w:sz w:val="18"/>
          <w:szCs w:val="18"/>
        </w:rPr>
        <w:t xml:space="preserve"> and</w:t>
      </w:r>
      <w:r w:rsidR="00305C8F" w:rsidRPr="005E2C3B">
        <w:rPr>
          <w:sz w:val="18"/>
          <w:szCs w:val="18"/>
        </w:rPr>
        <w:t xml:space="preserve"> </w:t>
      </w:r>
      <w:r w:rsidR="00305C8F">
        <w:rPr>
          <w:sz w:val="18"/>
          <w:szCs w:val="18"/>
        </w:rPr>
        <w:t>0.78</w:t>
      </w:r>
      <w:r w:rsidR="00305C8F" w:rsidRPr="005E2C3B">
        <w:rPr>
          <w:sz w:val="18"/>
          <w:szCs w:val="18"/>
        </w:rPr>
        <w:t xml:space="preserve"> mg/ml</w:t>
      </w:r>
      <w:r w:rsidR="00305C8F">
        <w:rPr>
          <w:sz w:val="18"/>
          <w:szCs w:val="18"/>
        </w:rPr>
        <w:t xml:space="preserve"> equivalent to 0.06% </w:t>
      </w:r>
      <w:r w:rsidR="002F285E" w:rsidRPr="002F285E">
        <w:rPr>
          <w:sz w:val="18"/>
          <w:szCs w:val="18"/>
        </w:rPr>
        <w:t>Chlorhexidine</w:t>
      </w:r>
      <w:r w:rsidR="00305C8F">
        <w:rPr>
          <w:sz w:val="18"/>
          <w:szCs w:val="18"/>
        </w:rPr>
        <w:t xml:space="preserve"> compared to its lowest conc at 0.34 mg/ml, and </w:t>
      </w:r>
      <w:r w:rsidR="00305C8F">
        <w:rPr>
          <w:rFonts w:cstheme="minorBidi"/>
          <w:sz w:val="18"/>
          <w:szCs w:val="18"/>
          <w:lang w:val="en-GB" w:bidi="ar-IQ"/>
        </w:rPr>
        <w:t xml:space="preserve">this activity was </w:t>
      </w:r>
      <w:r w:rsidR="00305C8F">
        <w:rPr>
          <w:rFonts w:cstheme="minorBidi"/>
          <w:sz w:val="18"/>
          <w:szCs w:val="18"/>
          <w:lang w:val="en" w:bidi="ar-IQ"/>
        </w:rPr>
        <w:t>i</w:t>
      </w:r>
      <w:r w:rsidR="00305C8F" w:rsidRPr="005E2C3B">
        <w:rPr>
          <w:rFonts w:cstheme="minorBidi"/>
          <w:sz w:val="18"/>
          <w:szCs w:val="18"/>
          <w:lang w:val="en" w:bidi="ar-IQ"/>
        </w:rPr>
        <w:t>nversely proportional</w:t>
      </w:r>
      <w:r w:rsidR="00305C8F">
        <w:rPr>
          <w:rFonts w:cstheme="minorBidi"/>
          <w:sz w:val="18"/>
          <w:szCs w:val="18"/>
          <w:lang w:val="en" w:bidi="ar-IQ"/>
        </w:rPr>
        <w:t xml:space="preserve"> to the extract’s concentration. </w:t>
      </w:r>
      <w:r w:rsidR="00305C8F" w:rsidRPr="00FE7BF6">
        <w:rPr>
          <w:sz w:val="18"/>
          <w:szCs w:val="18"/>
        </w:rPr>
        <w:t xml:space="preserve">Conclusion: </w:t>
      </w:r>
      <w:r w:rsidR="00305C8F">
        <w:rPr>
          <w:sz w:val="18"/>
          <w:szCs w:val="18"/>
        </w:rPr>
        <w:t xml:space="preserve">While </w:t>
      </w:r>
      <w:r w:rsidR="00305C8F" w:rsidRPr="00577052">
        <w:rPr>
          <w:sz w:val="18"/>
          <w:szCs w:val="18"/>
        </w:rPr>
        <w:t xml:space="preserve">Augmentin and Metronidazole showed no sensitivity against </w:t>
      </w:r>
      <w:r w:rsidR="00305C8F" w:rsidRPr="00577052">
        <w:rPr>
          <w:i/>
          <w:iCs/>
          <w:sz w:val="18"/>
          <w:szCs w:val="18"/>
        </w:rPr>
        <w:t>P. gingivalis</w:t>
      </w:r>
      <w:r w:rsidR="00305C8F" w:rsidRPr="00577052">
        <w:rPr>
          <w:sz w:val="18"/>
          <w:szCs w:val="18"/>
        </w:rPr>
        <w:t xml:space="preserve">, </w:t>
      </w:r>
      <w:r w:rsidR="00305C8F" w:rsidRPr="003F63BB">
        <w:rPr>
          <w:sz w:val="18"/>
          <w:szCs w:val="18"/>
        </w:rPr>
        <w:t xml:space="preserve">the promising antibacterial effect of Mo leaves extract against this bacterium </w:t>
      </w:r>
      <w:r w:rsidR="00305C8F">
        <w:rPr>
          <w:sz w:val="18"/>
          <w:szCs w:val="18"/>
        </w:rPr>
        <w:t xml:space="preserve">may </w:t>
      </w:r>
      <w:r w:rsidR="00305C8F" w:rsidRPr="003F63BB">
        <w:rPr>
          <w:sz w:val="18"/>
          <w:szCs w:val="18"/>
        </w:rPr>
        <w:t>indicates its potential for use in oral health</w:t>
      </w:r>
      <w:r w:rsidR="00305C8F">
        <w:rPr>
          <w:sz w:val="18"/>
          <w:szCs w:val="18"/>
        </w:rPr>
        <w:t xml:space="preserve"> promotion,</w:t>
      </w:r>
      <w:r w:rsidR="00305C8F" w:rsidRPr="003F63BB">
        <w:rPr>
          <w:sz w:val="18"/>
          <w:szCs w:val="18"/>
        </w:rPr>
        <w:t xml:space="preserve"> </w:t>
      </w:r>
      <w:r w:rsidR="00305C8F">
        <w:rPr>
          <w:sz w:val="18"/>
          <w:szCs w:val="18"/>
        </w:rPr>
        <w:t>suggesting</w:t>
      </w:r>
      <w:r w:rsidR="00305C8F" w:rsidRPr="003F63BB">
        <w:rPr>
          <w:rFonts w:eastAsia="Times New Roman" w:cs="Times New Roman"/>
          <w:sz w:val="18"/>
          <w:szCs w:val="18"/>
        </w:rPr>
        <w:t xml:space="preserve"> further </w:t>
      </w:r>
      <w:r w:rsidR="00305C8F" w:rsidRPr="003F63BB">
        <w:rPr>
          <w:rFonts w:eastAsia="Times New Roman" w:cs="Times New Roman"/>
          <w:i/>
          <w:iCs/>
          <w:sz w:val="18"/>
          <w:szCs w:val="18"/>
        </w:rPr>
        <w:t>in vivo</w:t>
      </w:r>
      <w:r w:rsidR="00305C8F" w:rsidRPr="003F63BB">
        <w:rPr>
          <w:rFonts w:eastAsia="Times New Roman" w:cs="Times New Roman"/>
          <w:sz w:val="18"/>
          <w:szCs w:val="18"/>
        </w:rPr>
        <w:t xml:space="preserve"> studies to validate Mo extracts as alternative adjuncts in periodontitis therapy</w:t>
      </w:r>
      <w:r w:rsidR="00305C8F">
        <w:rPr>
          <w:rFonts w:eastAsia="Times New Roman" w:cs="Times New Roman"/>
          <w:sz w:val="18"/>
          <w:szCs w:val="18"/>
        </w:rPr>
        <w:t>.</w:t>
      </w:r>
      <w:r w:rsidR="00305C8F" w:rsidRPr="003F63BB">
        <w:rPr>
          <w:sz w:val="18"/>
          <w:szCs w:val="18"/>
        </w:rPr>
        <w:t xml:space="preserve"> </w:t>
      </w:r>
    </w:p>
    <w:p w14:paraId="6AEE84C9" w14:textId="1542E8A0" w:rsidR="00305C8F" w:rsidRDefault="00305C8F" w:rsidP="00305C8F">
      <w:pPr>
        <w:pStyle w:val="Body"/>
        <w:ind w:left="2606" w:firstLine="229"/>
        <w:contextualSpacing/>
        <w:rPr>
          <w:sz w:val="18"/>
          <w:szCs w:val="18"/>
        </w:rPr>
      </w:pPr>
    </w:p>
    <w:p w14:paraId="09B179F1" w14:textId="0D4C119E" w:rsidR="00AD30DC" w:rsidRPr="003F63BB" w:rsidRDefault="009D141E" w:rsidP="00895132">
      <w:pPr>
        <w:pStyle w:val="Body"/>
        <w:ind w:left="2606" w:firstLine="229"/>
        <w:contextualSpacing/>
        <w:rPr>
          <w:rFonts w:eastAsia="Times New Roman" w:cs="Times New Roman"/>
          <w:sz w:val="18"/>
          <w:szCs w:val="18"/>
        </w:rPr>
      </w:pPr>
      <w:r>
        <w:rPr>
          <w:sz w:val="18"/>
          <w:szCs w:val="18"/>
        </w:rPr>
        <w:t xml:space="preserve"> </w:t>
      </w:r>
      <w:r w:rsidR="005545DE" w:rsidRPr="003F63BB">
        <w:rPr>
          <w:b/>
          <w:bCs/>
          <w:sz w:val="18"/>
          <w:szCs w:val="18"/>
        </w:rPr>
        <w:t xml:space="preserve">        </w:t>
      </w:r>
      <w:r w:rsidR="00AD30DC" w:rsidRPr="003F63BB">
        <w:rPr>
          <w:b/>
          <w:bCs/>
          <w:sz w:val="18"/>
          <w:szCs w:val="18"/>
        </w:rPr>
        <w:t>Keywords:</w:t>
      </w:r>
      <w:r w:rsidR="00AC59F1" w:rsidRPr="003F63BB">
        <w:rPr>
          <w:sz w:val="18"/>
          <w:szCs w:val="18"/>
        </w:rPr>
        <w:t xml:space="preserve"> </w:t>
      </w:r>
      <w:r w:rsidR="00577052" w:rsidRPr="003F63BB">
        <w:rPr>
          <w:sz w:val="18"/>
          <w:szCs w:val="18"/>
        </w:rPr>
        <w:t>Augmentin, Metronidazole,</w:t>
      </w:r>
      <w:r w:rsidR="00577052" w:rsidRPr="003F63BB">
        <w:rPr>
          <w:i/>
          <w:iCs/>
          <w:sz w:val="18"/>
          <w:szCs w:val="18"/>
        </w:rPr>
        <w:t xml:space="preserve"> Moringa oleifera L</w:t>
      </w:r>
      <w:r w:rsidR="00577052" w:rsidRPr="003F63BB">
        <w:rPr>
          <w:sz w:val="18"/>
          <w:szCs w:val="18"/>
        </w:rPr>
        <w:t xml:space="preserve">, </w:t>
      </w:r>
      <w:r w:rsidR="00577052" w:rsidRPr="003F63BB">
        <w:rPr>
          <w:i/>
          <w:iCs/>
          <w:sz w:val="18"/>
          <w:szCs w:val="18"/>
        </w:rPr>
        <w:t>P. gingivalis</w:t>
      </w:r>
      <w:r w:rsidR="00CC3469" w:rsidRPr="003F63BB">
        <w:rPr>
          <w:i/>
          <w:iCs/>
          <w:sz w:val="18"/>
          <w:szCs w:val="18"/>
        </w:rPr>
        <w:t>.</w:t>
      </w:r>
    </w:p>
    <w:bookmarkStart w:id="0" w:name="_Hlk96968405"/>
    <w:p w14:paraId="789FD89B" w14:textId="13920F70" w:rsidR="00AD30DC" w:rsidRPr="00DC340C" w:rsidRDefault="00196B6C" w:rsidP="00B272FE">
      <w:pPr>
        <w:spacing w:before="240" w:after="60" w:line="240" w:lineRule="atLeast"/>
        <w:ind w:left="720" w:right="543"/>
        <w:jc w:val="both"/>
        <w:rPr>
          <w:rFonts w:ascii="Palatino Linotype" w:hAnsi="Palatino Linotype"/>
          <w:sz w:val="20"/>
          <w:szCs w:val="20"/>
        </w:rPr>
      </w:pPr>
      <w:r w:rsidRPr="00DC340C">
        <w:rPr>
          <w:rFonts w:ascii="Palatino Linotype" w:hAnsi="Palatino Linotype"/>
          <w:b/>
          <w:bCs/>
          <w:noProof/>
          <w:sz w:val="20"/>
          <w:szCs w:val="20"/>
        </w:rPr>
        <mc:AlternateContent>
          <mc:Choice Requires="wps">
            <w:drawing>
              <wp:anchor distT="0" distB="0" distL="114300" distR="114300" simplePos="0" relativeHeight="251658240" behindDoc="0" locked="0" layoutInCell="1" allowOverlap="1" wp14:anchorId="0C4F0586" wp14:editId="7F8D7F4A">
                <wp:simplePos x="0" y="0"/>
                <wp:positionH relativeFrom="column">
                  <wp:posOffset>1661160</wp:posOffset>
                </wp:positionH>
                <wp:positionV relativeFrom="paragraph">
                  <wp:posOffset>34290</wp:posOffset>
                </wp:positionV>
                <wp:extent cx="4680439" cy="5862"/>
                <wp:effectExtent l="0" t="0" r="25400" b="32385"/>
                <wp:wrapNone/>
                <wp:docPr id="1" name="Straight Connector 1"/>
                <wp:cNvGraphicFramePr/>
                <a:graphic xmlns:a="http://schemas.openxmlformats.org/drawingml/2006/main">
                  <a:graphicData uri="http://schemas.microsoft.com/office/word/2010/wordprocessingShape">
                    <wps:wsp>
                      <wps:cNvCnPr/>
                      <wps:spPr>
                        <a:xfrm>
                          <a:off x="0" y="0"/>
                          <a:ext cx="4680439"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74D6AF"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0.8pt,2.7pt" to="499.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swnQEAAIsDAAAOAAAAZHJzL2Uyb0RvYy54bWysU8tu2zAQvAfoPxC815LdxHAFyzkkaC5F&#10;GzTJBzDU0iJKcgmSseS/z5K25aItiiLIZcXHzO7OcLW+Hq1hOwhRo2v5fFZzBk5ip9225U+PXz6u&#10;OItJuE4YdNDyPUR+vflwsR58Awvs0XQQGCVxsRl8y/uUfFNVUfZgRZyhB0eXCoMVibZhW3VBDJTd&#10;mmpR18tqwND5gBJipNPbwyXflPxKgUzflYqQmGk59ZZKDCU+51ht1qLZBuF7LY9tiDd0YYV2VHRK&#10;dSuSYC9B/5HKahkwokozibZCpbSEooHUzOvf1Dz0wkPRQuZEP9kU3y+t/La7cfeBbBh8bKK/D1nF&#10;qILNX+qPjcWs/WQWjIlJOrxcrurLT585k3R3tVouspfVmetDTHeAluVFy412WYpoxO5rTAfoCUK8&#10;c/WySnsDGWzcD1BMd1RvXthlMODGBLYT9KTdz/mxbEFmitLGTKT636QjNtOgDMv/Eid0qYguTUSr&#10;HYa/VU3jqVV1wJ9UH7Rm2c/Y7ctbFDvoxYuhx+nMI/XrvtDP/9DmFQAA//8DAFBLAwQUAAYACAAA&#10;ACEAYpzUxd0AAAAHAQAADwAAAGRycy9kb3ducmV2LnhtbEyOwU7DMBBE70j8g7VI3KjTAKENcaqq&#10;EkJcEE3h7sZbJ2CvI9tJw99jTnAczejNqzazNWxCH3pHApaLDBhS61RPWsD74elmBSxESUoaRyjg&#10;GwNs6suLSpbKnWmPUxM1SxAKpRTQxTiUnIe2QyvDwg1IqTs5b2VM0WuuvDwnuDU8z7KCW9lTeujk&#10;gLsO269mtALMi58+9E5vw/i8L5rPt1P+epiEuL6at4/AIs7xbwy/+kkd6uR0dCOpwIyAvFgWaSrg&#10;/g5Y6tfr1QOwo4DiFnhd8f/+9Q8AAAD//wMAUEsBAi0AFAAGAAgAAAAhALaDOJL+AAAA4QEAABMA&#10;AAAAAAAAAAAAAAAAAAAAAFtDb250ZW50X1R5cGVzXS54bWxQSwECLQAUAAYACAAAACEAOP0h/9YA&#10;AACUAQAACwAAAAAAAAAAAAAAAAAvAQAAX3JlbHMvLnJlbHNQSwECLQAUAAYACAAAACEARx4LMJ0B&#10;AACLAwAADgAAAAAAAAAAAAAAAAAuAgAAZHJzL2Uyb0RvYy54bWxQSwECLQAUAAYACAAAACEAYpzU&#10;xd0AAAAHAQAADwAAAAAAAAAAAAAAAAD3AwAAZHJzL2Rvd25yZXYueG1sUEsFBgAAAAAEAAQA8wAA&#10;AAEFAAAAAA==&#10;" strokecolor="black [3200]" strokeweight=".5pt">
                <v:stroke joinstyle="miter"/>
              </v:line>
            </w:pict>
          </mc:Fallback>
        </mc:AlternateContent>
      </w:r>
      <w:r w:rsidR="00AD30DC" w:rsidRPr="00DC340C">
        <w:rPr>
          <w:rFonts w:ascii="Palatino Linotype" w:hAnsi="Palatino Linotype"/>
          <w:b/>
          <w:bCs/>
          <w:sz w:val="20"/>
          <w:szCs w:val="20"/>
        </w:rPr>
        <w:t>Introduction</w:t>
      </w:r>
      <w:r w:rsidR="00AD30DC" w:rsidRPr="00DC340C">
        <w:rPr>
          <w:rFonts w:ascii="Palatino Linotype" w:hAnsi="Palatino Linotype"/>
          <w:sz w:val="20"/>
          <w:szCs w:val="20"/>
        </w:rPr>
        <w:t xml:space="preserve">   </w:t>
      </w:r>
    </w:p>
    <w:bookmarkEnd w:id="0"/>
    <w:p w14:paraId="4B3920C1" w14:textId="5CC4F82D" w:rsidR="003E7DE1" w:rsidRDefault="00B42B82" w:rsidP="006D3EBC">
      <w:pPr>
        <w:spacing w:before="240" w:after="60" w:line="276" w:lineRule="auto"/>
        <w:ind w:left="720" w:right="543"/>
        <w:jc w:val="both"/>
        <w:rPr>
          <w:rFonts w:ascii="Palatino Linotype" w:eastAsia="Palatino Linotype" w:hAnsi="Palatino Linotype"/>
          <w:sz w:val="20"/>
          <w:szCs w:val="20"/>
          <w:u w:color="000000"/>
          <w:bdr w:val="nil"/>
          <w14:textOutline w14:w="0" w14:cap="flat" w14:cmpd="sng" w14:algn="ctr">
            <w14:noFill/>
            <w14:prstDash w14:val="solid"/>
            <w14:bevel/>
          </w14:textOutline>
        </w:rPr>
      </w:pPr>
      <w:r>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577052" w:rsidRPr="00DC340C">
        <w:rPr>
          <w:rFonts w:ascii="Palatino Linotype" w:eastAsia="Palatino Linotype" w:hAnsi="Palatino Linotype"/>
          <w:sz w:val="20"/>
          <w:szCs w:val="20"/>
          <w:u w:color="000000"/>
          <w:bdr w:val="nil"/>
          <w14:textOutline w14:w="0" w14:cap="flat" w14:cmpd="sng" w14:algn="ctr">
            <w14:noFill/>
            <w14:prstDash w14:val="solid"/>
            <w14:bevel/>
          </w14:textOutline>
        </w:rPr>
        <w:t>Periodontal disease is a multifactorial infection with multiple contributing factors and a diverse array of microbes causing devastating influence on the teeth-supporting tissues</w:t>
      </w:r>
      <w:r w:rsidR="002B0326">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2B0326" w:rsidRPr="002B0326">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(1)</w:t>
      </w:r>
      <w:r w:rsidR="00577052"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It begins as reversible inflammation of the gingiva, and if left untreated, it can result in irreversible deterioration of the supportive tooth-related tissues and eventually tooth loss. Extensive </w:t>
      </w:r>
      <w:r w:rsidR="00FC0D89" w:rsidRPr="00DC340C">
        <w:rPr>
          <w:rFonts w:ascii="Palatino Linotype" w:eastAsia="Palatino Linotype" w:hAnsi="Palatino Linotype"/>
          <w:sz w:val="20"/>
          <w:szCs w:val="20"/>
          <w:u w:color="000000"/>
          <w:bdr w:val="nil"/>
          <w14:textOutline w14:w="0" w14:cap="flat" w14:cmpd="sng" w14:algn="ctr">
            <w14:noFill/>
            <w14:prstDash w14:val="solid"/>
            <w14:bevel/>
          </w14:textOutline>
        </w:rPr>
        <w:t>research</w:t>
      </w:r>
      <w:r w:rsidR="00577052"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over the years </w:t>
      </w:r>
      <w:r w:rsidR="0008697E">
        <w:rPr>
          <w:rFonts w:ascii="Palatino Linotype" w:eastAsia="Palatino Linotype" w:hAnsi="Palatino Linotype"/>
          <w:sz w:val="20"/>
          <w:szCs w:val="20"/>
          <w:u w:color="000000"/>
          <w:bdr w:val="nil"/>
          <w14:textOutline w14:w="0" w14:cap="flat" w14:cmpd="sng" w14:algn="ctr">
            <w14:noFill/>
            <w14:prstDash w14:val="solid"/>
            <w14:bevel/>
          </w14:textOutline>
        </w:rPr>
        <w:t>have</w:t>
      </w:r>
      <w:r w:rsidR="00577052"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revealed that only a small proportion of microorganisms in the sub-gingival environment play a fundamental role to initiate and advanc</w:t>
      </w:r>
      <w:r w:rsidR="004B5B32">
        <w:rPr>
          <w:rFonts w:ascii="Palatino Linotype" w:eastAsia="Palatino Linotype" w:hAnsi="Palatino Linotype"/>
          <w:sz w:val="20"/>
          <w:szCs w:val="20"/>
          <w:u w:color="000000"/>
          <w:bdr w:val="nil"/>
          <w14:textOutline w14:w="0" w14:cap="flat" w14:cmpd="sng" w14:algn="ctr">
            <w14:noFill/>
            <w14:prstDash w14:val="solid"/>
            <w14:bevel/>
          </w14:textOutline>
        </w:rPr>
        <w:t>ing</w:t>
      </w:r>
      <w:r w:rsidR="00577052"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the deterioration of the periodontal health</w:t>
      </w:r>
      <w:r w:rsidR="002B0326">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2B0326" w:rsidRPr="002B0326">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(1)</w:t>
      </w:r>
      <w:r w:rsidR="00577052"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p>
    <w:p w14:paraId="1F5D7926" w14:textId="786319FE" w:rsidR="00E8509C" w:rsidRPr="00634396" w:rsidRDefault="00577052" w:rsidP="006D3EBC">
      <w:pPr>
        <w:spacing w:before="240" w:after="60" w:line="276" w:lineRule="auto"/>
        <w:ind w:left="720" w:right="543"/>
        <w:jc w:val="both"/>
        <w:rPr>
          <w:rFonts w:ascii="Palatino Linotype" w:eastAsia="Palatino Linotype" w:hAnsi="Palatino Linotype"/>
          <w:sz w:val="20"/>
          <w:szCs w:val="20"/>
          <w:u w:color="000000"/>
          <w:bdr w:val="nil"/>
          <w14:textOutline w14:w="0" w14:cap="flat" w14:cmpd="sng" w14:algn="ctr">
            <w14:noFill/>
            <w14:prstDash w14:val="solid"/>
            <w14:bevel/>
          </w14:textOutline>
        </w:rPr>
      </w:pPr>
      <w:r w:rsidRPr="00DC340C">
        <w:rPr>
          <w:rFonts w:ascii="Palatino Linotype" w:eastAsia="Palatino Linotype" w:hAnsi="Palatino Linotype"/>
          <w:i/>
          <w:iCs/>
          <w:sz w:val="20"/>
          <w:szCs w:val="20"/>
          <w:u w:color="000000"/>
          <w:bdr w:val="nil"/>
          <w14:textOutline w14:w="0" w14:cap="flat" w14:cmpd="sng" w14:algn="ctr">
            <w14:noFill/>
            <w14:prstDash w14:val="solid"/>
            <w14:bevel/>
          </w14:textOutline>
        </w:rPr>
        <w:lastRenderedPageBreak/>
        <w:t>Porphyromonas gingivalis</w:t>
      </w:r>
      <w:r w:rsidR="00EC67CF">
        <w:rPr>
          <w:rFonts w:ascii="Palatino Linotype" w:eastAsia="Palatino Linotype" w:hAnsi="Palatino Linotype"/>
          <w:i/>
          <w:iCs/>
          <w:sz w:val="20"/>
          <w:szCs w:val="20"/>
          <w:u w:color="000000"/>
          <w:bdr w:val="nil"/>
          <w14:textOutline w14:w="0" w14:cap="flat" w14:cmpd="sng" w14:algn="ctr">
            <w14:noFill/>
            <w14:prstDash w14:val="solid"/>
            <w14:bevel/>
          </w14:textOutline>
        </w:rPr>
        <w:t xml:space="preserve"> (P. gingivalis)</w:t>
      </w:r>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a major virulent </w:t>
      </w:r>
      <w:proofErr w:type="spellStart"/>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dysbiotic</w:t>
      </w:r>
      <w:proofErr w:type="spellEnd"/>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pathogen, is a key bacterium that significantly contributes to disrupt</w:t>
      </w:r>
      <w:r w:rsidR="004B5B32">
        <w:rPr>
          <w:rFonts w:ascii="Palatino Linotype" w:eastAsia="Palatino Linotype" w:hAnsi="Palatino Linotype"/>
          <w:sz w:val="20"/>
          <w:szCs w:val="20"/>
          <w:u w:color="000000"/>
          <w:bdr w:val="nil"/>
          <w14:textOutline w14:w="0" w14:cap="flat" w14:cmpd="sng" w14:algn="ctr">
            <w14:noFill/>
            <w14:prstDash w14:val="solid"/>
            <w14:bevel/>
          </w14:textOutline>
        </w:rPr>
        <w:t>ion of</w:t>
      </w:r>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the entire micro-environment of periodontal ecosystem through switching the bacterial profile from symbiotic to </w:t>
      </w:r>
      <w:proofErr w:type="spellStart"/>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dysbiotic</w:t>
      </w:r>
      <w:proofErr w:type="spellEnd"/>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one </w:t>
      </w:r>
      <w:r w:rsidRPr="003F0587">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fldChar w:fldCharType="begin"/>
      </w:r>
      <w:r w:rsidRPr="003F0587">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instrText xml:space="preserve"> ADDIN EN.CITE &lt;EndNote&gt;&lt;Cite&gt;&lt;Author&gt;Hajishengallis&lt;/Author&gt;&lt;Year&gt;2014&lt;/Year&gt;&lt;RecNum&gt;160&lt;/RecNum&gt;&lt;DisplayText&gt;(1)&lt;/DisplayText&gt;&lt;record&gt;&lt;rec-number&gt;160&lt;/rec-number&gt;&lt;foreign-keys&gt;&lt;key app="EN" db-id="x2w090ve4vrra4e92fn5w29xrfvxa0sz2xsd" timestamp="1611742379"&gt;160&lt;/key&gt;&lt;/foreign-keys&gt;&lt;ref-type name="Journal Article"&gt;17&lt;/ref-type&gt;&lt;contributors&gt;&lt;authors&gt;&lt;author&gt;Hajishengallis, George&lt;/author&gt;&lt;author&gt;Lamont, Richard J&lt;/author&gt;&lt;/authors&gt;&lt;/contributors&gt;&lt;titles&gt;&lt;title&gt;Breaking bad: Manipulation of the host response by P orphyromonas gingivalis&lt;/title&gt;&lt;secondary-title&gt;European journal of immunology&lt;/secondary-title&gt;&lt;/titles&gt;&lt;periodical&gt;&lt;full-title&gt;European journal of immunology&lt;/full-title&gt;&lt;/periodical&gt;&lt;pages&gt;328-338&lt;/pages&gt;&lt;volume&gt;44&lt;/volume&gt;&lt;number&gt;2&lt;/number&gt;&lt;dates&gt;&lt;year&gt;2014&lt;/year&gt;&lt;/dates&gt;&lt;isbn&gt;0014-2980&lt;/isbn&gt;&lt;urls&gt;&lt;/urls&gt;&lt;/record&gt;&lt;/Cite&gt;&lt;/EndNote&gt;</w:instrText>
      </w:r>
      <w:r w:rsidRPr="003F0587">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fldChar w:fldCharType="separate"/>
      </w:r>
      <w:r w:rsidRPr="003F0587">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(1)</w:t>
      </w:r>
      <w:r w:rsidRPr="003F0587">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fldChar w:fldCharType="end"/>
      </w:r>
      <w:r w:rsidRPr="00EA6F96">
        <w:rPr>
          <w:rFonts w:ascii="Palatino Linotype" w:eastAsia="Palatino Linotype" w:hAnsi="Palatino Linotype"/>
          <w:sz w:val="20"/>
          <w:szCs w:val="20"/>
          <w:u w:color="000000"/>
          <w:bdr w:val="nil"/>
          <w14:textOutline w14:w="0" w14:cap="flat" w14:cmpd="sng" w14:algn="ctr">
            <w14:noFill/>
            <w14:prstDash w14:val="solid"/>
            <w14:bevel/>
          </w14:textOutline>
        </w:rPr>
        <w:t>.</w:t>
      </w:r>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Possessing a</w:t>
      </w:r>
      <w:r w:rsidR="004B5B32">
        <w:rPr>
          <w:rFonts w:ascii="Palatino Linotype" w:eastAsia="Palatino Linotype" w:hAnsi="Palatino Linotype"/>
          <w:sz w:val="20"/>
          <w:szCs w:val="20"/>
          <w:u w:color="000000"/>
          <w:bdr w:val="nil"/>
          <w14:textOutline w14:w="0" w14:cap="flat" w14:cmpd="sng" w14:algn="ctr">
            <w14:noFill/>
            <w14:prstDash w14:val="solid"/>
            <w14:bevel/>
          </w14:textOutline>
        </w:rPr>
        <w:t>n</w:t>
      </w:r>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4B5B32">
        <w:rPr>
          <w:rFonts w:ascii="Palatino Linotype" w:eastAsia="Palatino Linotype" w:hAnsi="Palatino Linotype"/>
          <w:sz w:val="20"/>
          <w:szCs w:val="20"/>
          <w:u w:color="000000"/>
          <w:bdr w:val="nil"/>
          <w14:textOutline w14:w="0" w14:cap="flat" w14:cmpd="sng" w14:algn="ctr">
            <w14:noFill/>
            <w14:prstDash w14:val="solid"/>
            <w14:bevel/>
          </w14:textOutline>
        </w:rPr>
        <w:t>extensive</w:t>
      </w:r>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arsenal of virulence factors empower this </w:t>
      </w:r>
      <w:r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bacterium to invade and destroy the gingival tissues through both direct bacterial engagement and indirect host modulation at the target sites. </w:t>
      </w:r>
      <w:r w:rsidR="000C1294">
        <w:rPr>
          <w:rFonts w:ascii="Palatino Linotype" w:eastAsia="Palatino Linotype" w:hAnsi="Palatino Linotype"/>
          <w:sz w:val="20"/>
          <w:szCs w:val="20"/>
          <w:u w:color="000000"/>
          <w:bdr w:val="nil"/>
          <w14:textOutline w14:w="0" w14:cap="flat" w14:cmpd="sng" w14:algn="ctr">
            <w14:noFill/>
            <w14:prstDash w14:val="solid"/>
            <w14:bevel/>
          </w14:textOutline>
        </w:rPr>
        <w:t>Sub</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verting innate immune response including manipulating complement-Toll-like receptors (TLRs) crosstalk represents one of the important mechanisms that</w:t>
      </w:r>
      <w:r w:rsidR="00EF458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4B5B32" w:rsidRPr="00376BE8">
        <w:rPr>
          <w:rFonts w:ascii="Palatino Linotype" w:eastAsia="Palatino Linotype" w:hAnsi="Palatino Linotype"/>
          <w:i/>
          <w:iCs/>
          <w:sz w:val="20"/>
          <w:szCs w:val="20"/>
          <w:u w:color="000000"/>
          <w:bdr w:val="nil"/>
          <w14:textOutline w14:w="0" w14:cap="flat" w14:cmpd="sng" w14:algn="ctr">
            <w14:noFill/>
            <w14:prstDash w14:val="solid"/>
            <w14:bevel/>
          </w14:textOutline>
        </w:rPr>
        <w:t>P. gingivalis</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induce a destructive influence in the homeostatic equilibrium with the host through altering the entire microbial growth and development</w:t>
      </w:r>
      <w:r w:rsidR="0033328F">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33328F" w:rsidRPr="0033328F">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(1)</w:t>
      </w:r>
      <w:r w:rsidR="00C8316B" w:rsidRPr="00376BE8">
        <w:rPr>
          <w:rFonts w:ascii="Palatino Linotype" w:eastAsia="Palatino Linotype" w:hAnsi="Palatino Linotype"/>
          <w:sz w:val="20"/>
          <w:szCs w:val="20"/>
          <w:u w:color="000000"/>
          <w:bdr w:val="nil"/>
          <w14:textOutline w14:w="0" w14:cap="flat" w14:cmpd="sng" w14:algn="ctr">
            <w14:noFill/>
            <w14:prstDash w14:val="solid"/>
            <w14:bevel/>
          </w14:textOutline>
        </w:rPr>
        <w:t>.</w:t>
      </w:r>
      <w:r w:rsidR="00834B78" w:rsidRPr="00376BE8">
        <w:rPr>
          <w:rFonts w:ascii="Palatino Linotype" w:eastAsia="Palatino Linotype" w:hAnsi="Palatino Linotype"/>
          <w:b/>
          <w:bCs/>
          <w:sz w:val="20"/>
          <w:szCs w:val="20"/>
          <w:u w:color="000000"/>
          <w:bdr w:val="nil"/>
          <w:vertAlign w:val="superscript"/>
          <w14:textOutline w14:w="0" w14:cap="flat" w14:cmpd="sng" w14:algn="ctr">
            <w14:noFill/>
            <w14:prstDash w14:val="solid"/>
            <w14:bevel/>
          </w14:textOutline>
        </w:rPr>
        <w:t xml:space="preserve"> </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In addition, </w:t>
      </w:r>
      <w:r w:rsidR="004B5B32" w:rsidRPr="00376BE8">
        <w:rPr>
          <w:rFonts w:ascii="Palatino Linotype" w:eastAsia="Palatino Linotype" w:hAnsi="Palatino Linotype"/>
          <w:i/>
          <w:iCs/>
          <w:sz w:val="20"/>
          <w:szCs w:val="20"/>
          <w:u w:color="000000"/>
          <w:bdr w:val="nil"/>
          <w14:textOutline w14:w="0" w14:cap="flat" w14:cmpd="sng" w14:algn="ctr">
            <w14:noFill/>
            <w14:prstDash w14:val="solid"/>
            <w14:bevel/>
          </w14:textOutline>
        </w:rPr>
        <w:t>P. gingivalis</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D036A6" w:rsidRPr="00376BE8">
        <w:rPr>
          <w:rFonts w:ascii="Palatino Linotype" w:eastAsia="Palatino Linotype" w:hAnsi="Palatino Linotype"/>
          <w:sz w:val="20"/>
          <w:szCs w:val="20"/>
          <w:u w:color="000000"/>
          <w:bdr w:val="nil"/>
          <w14:textOutline w14:w="0" w14:cap="flat" w14:cmpd="sng" w14:algn="ctr">
            <w14:noFill/>
            <w14:prstDash w14:val="solid"/>
            <w14:bevel/>
          </w14:textOutline>
        </w:rPr>
        <w:t>has shown to manipulate</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T cell development </w:t>
      </w:r>
      <w:r w:rsidR="00D036A6" w:rsidRPr="00376BE8">
        <w:rPr>
          <w:rFonts w:ascii="Palatino Linotype" w:eastAsia="Palatino Linotype" w:hAnsi="Palatino Linotype"/>
          <w:sz w:val="20"/>
          <w:szCs w:val="20"/>
          <w:u w:color="000000"/>
          <w:bdr w:val="nil"/>
          <w14:textOutline w14:w="0" w14:cap="flat" w14:cmpd="sng" w14:algn="ctr">
            <w14:noFill/>
            <w14:prstDash w14:val="solid"/>
            <w14:bevel/>
          </w14:textOutline>
        </w:rPr>
        <w:t>by promoting</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Th17</w:t>
      </w:r>
      <w:r w:rsidR="00D036A6"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cells- </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mediated inflammat</w:t>
      </w:r>
      <w:r w:rsidR="00D036A6" w:rsidRPr="00376BE8">
        <w:rPr>
          <w:rFonts w:ascii="Palatino Linotype" w:eastAsia="Palatino Linotype" w:hAnsi="Palatino Linotype"/>
          <w:sz w:val="20"/>
          <w:szCs w:val="20"/>
          <w:u w:color="000000"/>
          <w:bdr w:val="nil"/>
          <w14:textOutline w14:w="0" w14:cap="flat" w14:cmpd="sng" w14:algn="ctr">
            <w14:noFill/>
            <w14:prstDash w14:val="solid"/>
            <w14:bevel/>
          </w14:textOutline>
        </w:rPr>
        <w:t>ory response</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D036A6" w:rsidRPr="00376BE8">
        <w:rPr>
          <w:rFonts w:ascii="Palatino Linotype" w:eastAsia="Palatino Linotype" w:hAnsi="Palatino Linotype"/>
          <w:sz w:val="20"/>
          <w:szCs w:val="20"/>
          <w:u w:color="000000"/>
          <w:bdr w:val="nil"/>
          <w14:textOutline w14:w="0" w14:cap="flat" w14:cmpd="sng" w14:algn="ctr">
            <w14:noFill/>
            <w14:prstDash w14:val="solid"/>
            <w14:bevel/>
          </w14:textOutline>
        </w:rPr>
        <w:t>while downregulating</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Th1-dependent cell mediated </w:t>
      </w:r>
      <w:r w:rsidR="00D036A6" w:rsidRPr="00376BE8">
        <w:rPr>
          <w:rFonts w:ascii="Palatino Linotype" w:eastAsia="Palatino Linotype" w:hAnsi="Palatino Linotype"/>
          <w:sz w:val="20"/>
          <w:szCs w:val="20"/>
          <w:u w:color="000000"/>
          <w:bdr w:val="nil"/>
          <w14:textOutline w14:w="0" w14:cap="flat" w14:cmpd="sng" w14:algn="ctr">
            <w14:noFill/>
            <w14:prstDash w14:val="solid"/>
            <w14:bevel/>
          </w14:textOutline>
        </w:rPr>
        <w:t>effect</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D036A6" w:rsidRPr="00376BE8">
        <w:rPr>
          <w:rFonts w:ascii="Palatino Linotype" w:eastAsia="Palatino Linotype" w:hAnsi="Palatino Linotype"/>
          <w:sz w:val="20"/>
          <w:szCs w:val="20"/>
          <w:u w:color="000000"/>
          <w:bdr w:val="nil"/>
          <w14:textOutline w14:w="0" w14:cap="flat" w14:cmpd="sng" w14:algn="ctr">
            <w14:noFill/>
            <w14:prstDash w14:val="solid"/>
            <w14:bevel/>
          </w14:textOutline>
        </w:rPr>
        <w:t>that</w:t>
      </w:r>
      <w:r w:rsidR="004B5B3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E8509C"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enhance </w:t>
      </w:r>
      <w:r w:rsidR="00D036A6"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immune-mediated elimination of </w:t>
      </w:r>
      <w:r w:rsidR="00D036A6" w:rsidRPr="00376BE8">
        <w:rPr>
          <w:rFonts w:ascii="Palatino Linotype" w:eastAsia="Palatino Linotype" w:hAnsi="Palatino Linotype"/>
          <w:i/>
          <w:iCs/>
          <w:sz w:val="20"/>
          <w:szCs w:val="20"/>
          <w:u w:color="000000"/>
          <w:bdr w:val="nil"/>
          <w14:textOutline w14:w="0" w14:cap="flat" w14:cmpd="sng" w14:algn="ctr">
            <w14:noFill/>
            <w14:prstDash w14:val="solid"/>
            <w14:bevel/>
          </w14:textOutline>
        </w:rPr>
        <w:t xml:space="preserve">P. </w:t>
      </w:r>
      <w:r w:rsidR="00D036A6" w:rsidRPr="00634396">
        <w:rPr>
          <w:rFonts w:ascii="Palatino Linotype" w:eastAsia="Palatino Linotype" w:hAnsi="Palatino Linotype"/>
          <w:i/>
          <w:iCs/>
          <w:sz w:val="20"/>
          <w:szCs w:val="20"/>
          <w:u w:color="000000"/>
          <w:bdr w:val="nil"/>
          <w14:textOutline w14:w="0" w14:cap="flat" w14:cmpd="sng" w14:algn="ctr">
            <w14:noFill/>
            <w14:prstDash w14:val="solid"/>
            <w14:bevel/>
          </w14:textOutline>
        </w:rPr>
        <w:t>gingivalis</w:t>
      </w:r>
      <w:r w:rsidR="00D036A6" w:rsidRPr="00634396">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BB06A9" w:rsidRPr="00634396">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w:t>
      </w:r>
      <w:r w:rsidR="008F7AB5" w:rsidRPr="00634396">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2</w:t>
      </w:r>
      <w:r w:rsidR="00BB06A9" w:rsidRPr="00634396">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w:t>
      </w:r>
      <w:r w:rsidR="004B5B32" w:rsidRPr="00634396">
        <w:rPr>
          <w:rFonts w:ascii="Palatino Linotype" w:eastAsia="Palatino Linotype" w:hAnsi="Palatino Linotype"/>
          <w:sz w:val="20"/>
          <w:szCs w:val="20"/>
          <w:u w:color="000000"/>
          <w:bdr w:val="nil"/>
          <w14:textOutline w14:w="0" w14:cap="flat" w14:cmpd="sng" w14:algn="ctr">
            <w14:noFill/>
            <w14:prstDash w14:val="solid"/>
            <w14:bevel/>
          </w14:textOutline>
        </w:rPr>
        <w:t>.</w:t>
      </w:r>
      <w:r w:rsidR="00E8509C"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However, the disruption of this host</w:t>
      </w:r>
      <w:r w:rsidR="00C801A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-microbial homeostasis can also be resulted from several congenital, </w:t>
      </w:r>
      <w:proofErr w:type="spellStart"/>
      <w:r w:rsidR="00C801A2" w:rsidRPr="00376BE8">
        <w:rPr>
          <w:rFonts w:ascii="Palatino Linotype" w:eastAsia="Palatino Linotype" w:hAnsi="Palatino Linotype"/>
          <w:sz w:val="20"/>
          <w:szCs w:val="20"/>
          <w:u w:color="000000"/>
          <w:bdr w:val="nil"/>
          <w14:textOutline w14:w="0" w14:cap="flat" w14:cmpd="sng" w14:algn="ctr">
            <w14:noFill/>
            <w14:prstDash w14:val="solid"/>
            <w14:bevel/>
          </w14:textOutline>
        </w:rPr>
        <w:t>epigentic</w:t>
      </w:r>
      <w:proofErr w:type="spellEnd"/>
      <w:r w:rsidR="00C801A2"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modification to environmental triggers, environmental factors such as stress, dietary intake, and smoking, immunoregulatory/deficiency defects, </w:t>
      </w:r>
      <w:r w:rsidR="00807585"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and </w:t>
      </w:r>
      <w:r w:rsidR="00C801A2" w:rsidRPr="00376BE8">
        <w:rPr>
          <w:rFonts w:ascii="Palatino Linotype" w:eastAsia="Palatino Linotype" w:hAnsi="Palatino Linotype"/>
          <w:sz w:val="20"/>
          <w:szCs w:val="20"/>
          <w:u w:color="000000"/>
          <w:bdr w:val="nil"/>
          <w14:textOutline w14:w="0" w14:cap="flat" w14:cmpd="sng" w14:algn="ctr">
            <w14:noFill/>
            <w14:prstDash w14:val="solid"/>
            <w14:bevel/>
          </w14:textOutline>
        </w:rPr>
        <w:t>systemic diseases including diabetes, which shown as alone or in combination, can enhance</w:t>
      </w:r>
      <w:r w:rsidR="005004E1" w:rsidRPr="00376BE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the breakdown of homeostatic </w:t>
      </w:r>
      <w:r w:rsidR="005004E1" w:rsidRPr="00634396">
        <w:rPr>
          <w:rFonts w:ascii="Palatino Linotype" w:eastAsia="Palatino Linotype" w:hAnsi="Palatino Linotype"/>
          <w:sz w:val="20"/>
          <w:szCs w:val="20"/>
          <w:u w:color="000000"/>
          <w:bdr w:val="nil"/>
          <w14:textOutline w14:w="0" w14:cap="flat" w14:cmpd="sng" w14:algn="ctr">
            <w14:noFill/>
            <w14:prstDash w14:val="solid"/>
            <w14:bevel/>
          </w14:textOutline>
        </w:rPr>
        <w:t>control</w:t>
      </w:r>
      <w:r w:rsidR="0036472A" w:rsidRPr="00634396">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0036472A" w:rsidRPr="00634396">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w:t>
      </w:r>
      <w:r w:rsidR="008F7AB5" w:rsidRPr="00634396">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3</w:t>
      </w:r>
      <w:r w:rsidR="00BB06A9" w:rsidRPr="00634396">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t>)</w:t>
      </w:r>
      <w:r w:rsidR="0036472A" w:rsidRPr="00634396">
        <w:rPr>
          <w:rFonts w:ascii="Palatino Linotype" w:eastAsia="Palatino Linotype" w:hAnsi="Palatino Linotype"/>
          <w:sz w:val="20"/>
          <w:szCs w:val="20"/>
          <w:u w:color="000000"/>
          <w:bdr w:val="nil"/>
          <w14:textOutline w14:w="0" w14:cap="flat" w14:cmpd="sng" w14:algn="ctr">
            <w14:noFill/>
            <w14:prstDash w14:val="solid"/>
            <w14:bevel/>
          </w14:textOutline>
        </w:rPr>
        <w:t>.</w:t>
      </w:r>
    </w:p>
    <w:p w14:paraId="671C4B7A" w14:textId="6ED0438A" w:rsidR="00577052" w:rsidRPr="00DC340C" w:rsidRDefault="00577052" w:rsidP="006D3EBC">
      <w:pPr>
        <w:spacing w:before="240" w:after="60" w:line="276" w:lineRule="auto"/>
        <w:ind w:left="720" w:right="543"/>
        <w:jc w:val="both"/>
        <w:rPr>
          <w:rFonts w:ascii="Palatino Linotype" w:eastAsia="Palatino Linotype" w:hAnsi="Palatino Linotype"/>
          <w:sz w:val="20"/>
          <w:szCs w:val="20"/>
          <w:u w:color="000000"/>
          <w:bdr w:val="nil"/>
          <w:lang w:bidi="en-US"/>
          <w14:textOutline w14:w="0" w14:cap="flat" w14:cmpd="sng" w14:algn="ctr">
            <w14:noFill/>
            <w14:prstDash w14:val="solid"/>
            <w14:bevel/>
          </w14:textOutline>
        </w:rPr>
      </w:pP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The treatment of periodontal disease has traditionally involved professional </w:t>
      </w:r>
      <w:r w:rsidR="00BB06A9"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mechanical plaque removal</w:t>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along with</w:t>
      </w:r>
      <w:r w:rsidR="00BB06A9"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in certain situations, </w:t>
      </w:r>
      <w:r w:rsidR="00836FFF"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using</w:t>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adjunctive antibiotic medications and antiseptic mouthwashes</w:t>
      </w:r>
      <w:r w:rsidR="004D73F1"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004D73F1"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8F7AB5">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4</w:t>
      </w:r>
      <w:r w:rsidR="004D73F1"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4D73F1"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w:t>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However, an effective complementary systemic antimicrobial therapy has the potential to significantly suppress or eliminate persistent subgingival</w:t>
      </w:r>
      <w:r w:rsidR="00B740DF" w:rsidRPr="00376BE8">
        <w:rPr>
          <w:rFonts w:ascii="Palatino Linotype" w:eastAsiaTheme="minorEastAsia" w:hAnsi="Palatino Linotype" w:hint="eastAsia"/>
          <w:sz w:val="20"/>
          <w:szCs w:val="20"/>
          <w:u w:color="000000"/>
          <w:bdr w:val="nil"/>
          <w:lang w:eastAsia="ja-JP" w:bidi="en-US"/>
          <w14:textOutline w14:w="0" w14:cap="flat" w14:cmpd="sng" w14:algn="ctr">
            <w14:noFill/>
            <w14:prstDash w14:val="solid"/>
            <w14:bevel/>
          </w14:textOutline>
        </w:rPr>
        <w:t>-associated periodontal</w:t>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pathogens</w:t>
      </w:r>
      <w:r w:rsidR="00E92474"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fldChar w:fldCharType="begin"/>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&lt;EndNote&gt;&lt;Cite&gt;&lt;Author&gt;Slots&lt;/Author&gt;&lt;Year&gt;1990&lt;/Year&gt;&lt;RecNum&gt;27&lt;/RecNum&gt;&lt;DisplayText&gt;(3)&lt;/DisplayText&gt;&lt;record&gt;&lt;rec-number&gt;27&lt;/rec-number&gt;&lt;foreign-keys&gt;&lt;key app="EN" db-id="v5s0tzapa9r2fle0x23pp52lzewrrzpzrxxs" timestamp="1703147950"&gt;27&lt;/key&gt;&lt;/foreign-keys&gt;&lt;ref-type name="Journal Article"&gt;17&lt;/ref-type&gt;&lt;contributors&gt;&lt;authors&gt;&lt;author&gt;Slots, Jergen&lt;/author&gt;&lt;author&gt;Rams, Thomas E&lt;/author&gt;&lt;/authors&gt;&lt;/contributors&gt;&lt;titles&gt;&lt;title&gt;Antibiotics in periodontal therapy: advantages and disadvantages&lt;/title&gt;&lt;secondary-title&gt;Journal of clinical periodontology&lt;/secondary-title&gt;&lt;/titles&gt;&lt;periodical&gt;&lt;full-title&gt;Journal of clinical periodontology&lt;/full-title&gt;&lt;/periodical&gt;&lt;pages&gt;479-493&lt;/pages&gt;&lt;volume&gt;17&lt;/volume&gt;&lt;dates&gt;&lt;year&gt;1990&lt;/year&gt;&lt;/dates&gt;&lt;isbn&gt;0303-6979&lt;/isbn&gt;&lt;urls&gt;&lt;/urls&gt;&lt;/record&gt;&lt;/Cite&gt;&lt;/EndNote&gt;</w:instrText>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fldChar w:fldCharType="separate"/>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FD368A">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5</w:t>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Pr="00376BE8">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fldChar w:fldCharType="end"/>
      </w:r>
      <w:r w:rsidR="006E0B5A" w:rsidRPr="00376BE8">
        <w:rPr>
          <w:rFonts w:ascii="Palatino Linotype" w:eastAsia="Palatino Linotype" w:hAnsi="Palatino Linotype"/>
          <w:sz w:val="20"/>
          <w:szCs w:val="20"/>
          <w:u w:color="000000"/>
          <w:bdr w:val="nil"/>
          <w14:textOutline w14:w="0" w14:cap="flat" w14:cmpd="sng" w14:algn="ctr">
            <w14:noFill/>
            <w14:prstDash w14:val="solid"/>
            <w14:bevel/>
          </w14:textOutline>
        </w:rPr>
        <w:t>.</w:t>
      </w:r>
      <w:r w:rsidR="00B740DF" w:rsidRPr="00376BE8">
        <w:rPr>
          <w:rFonts w:ascii="Palatino Linotype" w:eastAsiaTheme="minorEastAsia" w:hAnsi="Palatino Linotype" w:hint="eastAsia"/>
          <w:sz w:val="20"/>
          <w:szCs w:val="20"/>
          <w:u w:color="000000"/>
          <w:bdr w:val="nil"/>
          <w:vertAlign w:val="superscript"/>
          <w:lang w:eastAsia="ja-JP"/>
          <w14:textOutline w14:w="0" w14:cap="flat" w14:cmpd="sng" w14:algn="ctr">
            <w14:noFill/>
            <w14:prstDash w14:val="solid"/>
            <w14:bevel/>
          </w14:textOutline>
        </w:rPr>
        <w:t xml:space="preserve"> </w:t>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Nevertheless, if the targeted pathogens exhibit resistance to these antibiotics, there is a risk of continuous positive feedback loop of growing pathogen-</w:t>
      </w:r>
      <w:proofErr w:type="spellStart"/>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dysbiotic</w:t>
      </w:r>
      <w:proofErr w:type="spellEnd"/>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environment, developing more severe forms of periodontitis.</w:t>
      </w:r>
      <w:r w:rsidR="0008697E"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00CE3502"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This could be explained through the survival of antibiotic</w:t>
      </w:r>
      <w:r w:rsidR="00B031DD"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-resistant bacteria if exist by expression of several antibiotic-resistant genes </w:t>
      </w:r>
      <w:r w:rsidR="00FB1346"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from horizontal transfer and phenotypic expression of these genes from other oral microorganisms</w:t>
      </w:r>
      <w:r w:rsidR="001A145D"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001A145D"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FD368A">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6</w:t>
      </w:r>
      <w:r w:rsidR="001A145D"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FB1346"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w:t>
      </w:r>
      <w:r w:rsidR="00F91902"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0086072E"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leading</w:t>
      </w:r>
      <w:r w:rsidR="00F91902"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to </w:t>
      </w:r>
      <w:r w:rsidR="0086072E"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continuous</w:t>
      </w:r>
      <w:r w:rsidR="00F91902"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0086072E"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induction of pathogen-environmental crosstalk </w:t>
      </w:r>
      <w:r w:rsidR="0086072E"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FD368A">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2</w:t>
      </w:r>
      <w:r w:rsidR="0086072E"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1A145D"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The administration of metronidazole and/or amoxicillin/clavulanic acid has demonstrated suppression of </w:t>
      </w:r>
      <w:r w:rsidR="00EF458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Pr="00376BE8">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P. gingivalis</w:t>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and reduction in the numbers of other potential periodontal pathogens</w:t>
      </w:r>
      <w:r w:rsidR="00E92474"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fldChar w:fldCharType="begin"/>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&lt;EndNote&gt;&lt;Cite&gt;&lt;Author&gt;Feres&lt;/Author&gt;&lt;Year&gt;2021&lt;/Year&gt;&lt;RecNum&gt;28&lt;/RecNum&gt;&lt;DisplayText&gt;(4)&lt;/DisplayText&gt;&lt;record&gt;&lt;rec-number&gt;28&lt;/rec-number&gt;&lt;foreign-keys&gt;&lt;key app="EN" db-id="v5s0tzapa9r2fle0x23pp52lzewrrzpzrxxs" timestamp="1703148065"&gt;28&lt;/key&gt;&lt;/foreign-keys&gt;&lt;ref-type name="Journal Article"&gt;17&lt;/ref-type&gt;&lt;contributors&gt;&lt;authors&gt;&lt;author&gt;Feres, Magda&lt;/author&gt;&lt;author&gt;Retamal‐Valdes, Belén&lt;/author&gt;&lt;author&gt;Fermiano, Daiane&lt;/author&gt;&lt;author&gt;Faveri, Marcelo&lt;/author&gt;&lt;author&gt;Figueiredo, Luciene Cristina&lt;/author&gt;&lt;author&gt;Mayer, Marcia PA&lt;/author&gt;&lt;author&gt;Lee, Jung‐Jin&lt;/author&gt;&lt;author&gt;Bittinger, Kyle&lt;/author&gt;&lt;author&gt;Teles, Flavia&lt;/author&gt;&lt;/authors&gt;&lt;/contributors&gt;&lt;titles&gt;&lt;title&gt;Microbiome changes in young periodontitis patients treated with adjunctive metronidazole and amoxicillin&lt;/title&gt;&lt;secondary-title&gt;Journal of Periodontology&lt;/secondary-title&gt;&lt;/titles&gt;&lt;periodical&gt;&lt;full-title&gt;Journal of Periodontology&lt;/full-title&gt;&lt;/periodical&gt;&lt;pages&gt;467-478&lt;/pages&gt;&lt;volume&gt;92&lt;/volume&gt;&lt;number&gt;4&lt;/number&gt;&lt;dates&gt;&lt;year&gt;2021&lt;/year&gt;&lt;/dates&gt;&lt;isbn&gt;0022-3492&lt;/isbn&gt;&lt;urls&gt;&lt;/urls&gt;&lt;/record&gt;&lt;/Cite&gt;&lt;/EndNote&gt;</w:instrText>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fldChar w:fldCharType="separate"/>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FD368A">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7</w:t>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Pr="00376BE8">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fldChar w:fldCharType="end"/>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However, the frequent use of these medications can lead to undesirable side influences, including bacterial-drug resistance.</w:t>
      </w:r>
      <w:r w:rsidR="002C437B"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Elevated antibiotic resistance of periodontitis-associated bacteria including </w:t>
      </w:r>
      <w:r w:rsidR="002C437B" w:rsidRPr="00376BE8">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P.</w:t>
      </w:r>
      <w:r w:rsidR="002C437B" w:rsidRPr="002C437B">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 xml:space="preserve"> gingivalis</w:t>
      </w:r>
      <w:r w:rsidR="000C33F9">
        <w:rPr>
          <w:rFonts w:ascii="Palatino Linotype" w:eastAsiaTheme="minorEastAsia" w:hAnsi="Palatino Linotype" w:hint="eastAsia"/>
          <w:i/>
          <w:iCs/>
          <w:sz w:val="20"/>
          <w:szCs w:val="20"/>
          <w:u w:color="000000"/>
          <w:bdr w:val="nil"/>
          <w:lang w:eastAsia="ja-JP" w:bidi="en-US"/>
          <w14:textOutline w14:w="0" w14:cap="flat" w14:cmpd="sng" w14:algn="ctr">
            <w14:noFill/>
            <w14:prstDash w14:val="solid"/>
            <w14:bevel/>
          </w14:textOutline>
        </w:rPr>
        <w:t xml:space="preserve"> </w:t>
      </w:r>
      <w:r w:rsidR="000C33F9" w:rsidRPr="006E0B5A">
        <w:rPr>
          <w:rFonts w:ascii="Palatino Linotype" w:eastAsiaTheme="minorEastAsia" w:hAnsi="Palatino Linotype" w:hint="eastAsia"/>
          <w:sz w:val="20"/>
          <w:szCs w:val="20"/>
          <w:u w:color="000000"/>
          <w:bdr w:val="nil"/>
          <w:vertAlign w:val="superscript"/>
          <w:lang w:eastAsia="ja-JP" w:bidi="en-US"/>
          <w14:textOutline w14:w="0" w14:cap="flat" w14:cmpd="sng" w14:algn="ctr">
            <w14:noFill/>
            <w14:prstDash w14:val="solid"/>
            <w14:bevel/>
          </w14:textOutline>
        </w:rPr>
        <w:t>(</w:t>
      </w:r>
      <w:r w:rsidR="00FD368A">
        <w:rPr>
          <w:rFonts w:ascii="Palatino Linotype" w:eastAsiaTheme="minorEastAsia" w:hAnsi="Palatino Linotype"/>
          <w:sz w:val="20"/>
          <w:szCs w:val="20"/>
          <w:u w:color="000000"/>
          <w:bdr w:val="nil"/>
          <w:vertAlign w:val="superscript"/>
          <w:lang w:eastAsia="ja-JP" w:bidi="en-US"/>
          <w14:textOutline w14:w="0" w14:cap="flat" w14:cmpd="sng" w14:algn="ctr">
            <w14:noFill/>
            <w14:prstDash w14:val="solid"/>
            <w14:bevel/>
          </w14:textOutline>
        </w:rPr>
        <w:t>8</w:t>
      </w:r>
      <w:r w:rsidR="000C33F9" w:rsidRPr="006E0B5A">
        <w:rPr>
          <w:rFonts w:ascii="Palatino Linotype" w:eastAsiaTheme="minorEastAsia" w:hAnsi="Palatino Linotype" w:hint="eastAsia"/>
          <w:sz w:val="20"/>
          <w:szCs w:val="20"/>
          <w:u w:color="000000"/>
          <w:bdr w:val="nil"/>
          <w:vertAlign w:val="superscript"/>
          <w:lang w:eastAsia="ja-JP" w:bidi="en-US"/>
          <w14:textOutline w14:w="0" w14:cap="flat" w14:cmpd="sng" w14:algn="ctr">
            <w14:noFill/>
            <w14:prstDash w14:val="solid"/>
            <w14:bevel/>
          </w14:textOutline>
        </w:rPr>
        <w:t>)</w:t>
      </w:r>
      <w:r w:rsidR="004905FA">
        <w:rPr>
          <w:rFonts w:ascii="Palatino Linotype" w:eastAsiaTheme="minorEastAsia" w:hAnsi="Palatino Linotype"/>
          <w:sz w:val="20"/>
          <w:szCs w:val="20"/>
          <w:u w:color="000000"/>
          <w:bdr w:val="nil"/>
          <w:lang w:eastAsia="ja-JP" w:bidi="en-US"/>
          <w14:textOutline w14:w="0" w14:cap="flat" w14:cmpd="sng" w14:algn="ctr">
            <w14:noFill/>
            <w14:prstDash w14:val="solid"/>
            <w14:bevel/>
          </w14:textOutline>
        </w:rPr>
        <w:t>,</w:t>
      </w:r>
      <w:r w:rsidR="002C437B" w:rsidRPr="002C437B">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002C437B">
        <w:rPr>
          <w:rFonts w:ascii="Palatino Linotype" w:eastAsiaTheme="minorEastAsia" w:hAnsi="Palatino Linotype" w:hint="eastAsia"/>
          <w:sz w:val="20"/>
          <w:szCs w:val="20"/>
          <w:u w:color="000000"/>
          <w:bdr w:val="nil"/>
          <w:lang w:eastAsia="ja-JP" w:bidi="en-US"/>
          <w14:textOutline w14:w="0" w14:cap="flat" w14:cmpd="sng" w14:algn="ctr">
            <w14:noFill/>
            <w14:prstDash w14:val="solid"/>
            <w14:bevel/>
          </w14:textOutline>
        </w:rPr>
        <w:t xml:space="preserve">makes the use of synthetic antimicrobial agents as effective adjuncts in the treatment of periodontal diseases questionable for their undesirable </w:t>
      </w:r>
      <w:r w:rsidR="002C437B">
        <w:rPr>
          <w:rFonts w:ascii="Palatino Linotype" w:eastAsiaTheme="minorEastAsia" w:hAnsi="Palatino Linotype"/>
          <w:sz w:val="20"/>
          <w:szCs w:val="20"/>
          <w:u w:color="000000"/>
          <w:bdr w:val="nil"/>
          <w:lang w:eastAsia="ja-JP" w:bidi="en-US"/>
          <w14:textOutline w14:w="0" w14:cap="flat" w14:cmpd="sng" w14:algn="ctr">
            <w14:noFill/>
            <w14:prstDash w14:val="solid"/>
            <w14:bevel/>
          </w14:textOutline>
        </w:rPr>
        <w:t>adverse</w:t>
      </w:r>
      <w:r w:rsidR="002C437B">
        <w:rPr>
          <w:rFonts w:ascii="Palatino Linotype" w:eastAsiaTheme="minorEastAsia" w:hAnsi="Palatino Linotype" w:hint="eastAsia"/>
          <w:sz w:val="20"/>
          <w:szCs w:val="20"/>
          <w:u w:color="000000"/>
          <w:bdr w:val="nil"/>
          <w:lang w:eastAsia="ja-JP" w:bidi="en-US"/>
          <w14:textOutline w14:w="0" w14:cap="flat" w14:cmpd="sng" w14:algn="ctr">
            <w14:noFill/>
            <w14:prstDash w14:val="solid"/>
            <w14:bevel/>
          </w14:textOutline>
        </w:rPr>
        <w:t xml:space="preserve"> effects including </w:t>
      </w:r>
      <w:r w:rsidR="008A1258">
        <w:rPr>
          <w:rFonts w:ascii="Palatino Linotype" w:eastAsiaTheme="minorEastAsia" w:hAnsi="Palatino Linotype"/>
          <w:sz w:val="20"/>
          <w:szCs w:val="20"/>
          <w:u w:color="000000"/>
          <w:bdr w:val="nil"/>
          <w:lang w:eastAsia="ja-JP" w:bidi="en-US"/>
          <w14:textOutline w14:w="0" w14:cap="flat" w14:cmpd="sng" w14:algn="ctr">
            <w14:noFill/>
            <w14:prstDash w14:val="solid"/>
            <w14:bevel/>
          </w14:textOutline>
        </w:rPr>
        <w:t>b</w:t>
      </w:r>
      <w:r w:rsidR="002C437B">
        <w:rPr>
          <w:rFonts w:ascii="Palatino Linotype" w:eastAsiaTheme="minorEastAsia" w:hAnsi="Palatino Linotype" w:hint="eastAsia"/>
          <w:sz w:val="20"/>
          <w:szCs w:val="20"/>
          <w:u w:color="000000"/>
          <w:bdr w:val="nil"/>
          <w:lang w:eastAsia="ja-JP" w:bidi="en-US"/>
          <w14:textOutline w14:w="0" w14:cap="flat" w14:cmpd="sng" w14:algn="ctr">
            <w14:noFill/>
            <w14:prstDash w14:val="solid"/>
            <w14:bevel/>
          </w14:textOutline>
        </w:rPr>
        <w:t xml:space="preserve">acterial </w:t>
      </w:r>
      <w:r w:rsidR="002C437B">
        <w:rPr>
          <w:rFonts w:ascii="Palatino Linotype" w:eastAsiaTheme="minorEastAsia" w:hAnsi="Palatino Linotype"/>
          <w:sz w:val="20"/>
          <w:szCs w:val="20"/>
          <w:u w:color="000000"/>
          <w:bdr w:val="nil"/>
          <w:lang w:eastAsia="ja-JP" w:bidi="en-US"/>
          <w14:textOutline w14:w="0" w14:cap="flat" w14:cmpd="sng" w14:algn="ctr">
            <w14:noFill/>
            <w14:prstDash w14:val="solid"/>
            <w14:bevel/>
          </w14:textOutline>
        </w:rPr>
        <w:t>resistance</w:t>
      </w:r>
      <w:r w:rsidR="002C437B">
        <w:rPr>
          <w:rFonts w:ascii="Palatino Linotype" w:eastAsiaTheme="minorEastAsia" w:hAnsi="Palatino Linotype" w:hint="eastAsia"/>
          <w:sz w:val="20"/>
          <w:szCs w:val="20"/>
          <w:u w:color="000000"/>
          <w:bdr w:val="nil"/>
          <w:lang w:eastAsia="ja-JP" w:bidi="en-US"/>
          <w14:textOutline w14:w="0" w14:cap="flat" w14:cmpd="sng" w14:algn="ctr">
            <w14:noFill/>
            <w14:prstDash w14:val="solid"/>
            <w14:bevel/>
          </w14:textOutline>
        </w:rPr>
        <w:t xml:space="preserve">. </w:t>
      </w:r>
      <w:r w:rsidR="002C437B">
        <w:rPr>
          <w:rFonts w:ascii="Palatino Linotype" w:eastAsiaTheme="minorEastAsia" w:hAnsi="Palatino Linotype"/>
          <w:sz w:val="20"/>
          <w:szCs w:val="20"/>
          <w:u w:color="000000"/>
          <w:bdr w:val="nil"/>
          <w:lang w:eastAsia="ja-JP" w:bidi="en-US"/>
          <w14:textOutline w14:w="0" w14:cap="flat" w14:cmpd="sng" w14:algn="ctr">
            <w14:noFill/>
            <w14:prstDash w14:val="solid"/>
            <w14:bevel/>
          </w14:textOutline>
        </w:rPr>
        <w:t>T</w:t>
      </w:r>
      <w:r w:rsidR="002C437B">
        <w:rPr>
          <w:rFonts w:ascii="Palatino Linotype" w:eastAsiaTheme="minorEastAsia" w:hAnsi="Palatino Linotype" w:hint="eastAsia"/>
          <w:sz w:val="20"/>
          <w:szCs w:val="20"/>
          <w:u w:color="000000"/>
          <w:bdr w:val="nil"/>
          <w:lang w:eastAsia="ja-JP" w:bidi="en-US"/>
          <w14:textOutline w14:w="0" w14:cap="flat" w14:cmpd="sng" w14:algn="ctr">
            <w14:noFill/>
            <w14:prstDash w14:val="solid"/>
            <w14:bevel/>
          </w14:textOutline>
        </w:rPr>
        <w:t>hus, the concept of using alternative medicinal-based plants becomes extremely important</w:t>
      </w:r>
      <w:r w:rsidR="000C33F9">
        <w:rPr>
          <w:rFonts w:ascii="Palatino Linotype" w:eastAsiaTheme="minorEastAsia" w:hAnsi="Palatino Linotype" w:hint="eastAsia"/>
          <w:sz w:val="20"/>
          <w:szCs w:val="20"/>
          <w:u w:color="000000"/>
          <w:bdr w:val="nil"/>
          <w:lang w:eastAsia="ja-JP" w:bidi="en-US"/>
          <w14:textOutline w14:w="0" w14:cap="flat" w14:cmpd="sng" w14:algn="ctr">
            <w14:noFill/>
            <w14:prstDash w14:val="solid"/>
            <w14:bevel/>
          </w14:textOutline>
        </w:rPr>
        <w:t xml:space="preserve"> as adjunctive treatment of periodontal diseases.</w:t>
      </w:r>
      <w:r w:rsidR="002C437B">
        <w:rPr>
          <w:rFonts w:ascii="Palatino Linotype" w:eastAsiaTheme="minorEastAsia" w:hAnsi="Palatino Linotype" w:hint="eastAsia"/>
          <w:sz w:val="20"/>
          <w:szCs w:val="20"/>
          <w:u w:color="000000"/>
          <w:bdr w:val="nil"/>
          <w:lang w:eastAsia="ja-JP" w:bidi="en-US"/>
          <w14:textOutline w14:w="0" w14:cap="flat" w14:cmpd="sng" w14:algn="ctr">
            <w14:noFill/>
            <w14:prstDash w14:val="solid"/>
            <w14:bevel/>
          </w14:textOutline>
        </w:rPr>
        <w:t xml:space="preserve"> </w:t>
      </w:r>
      <w:r w:rsidR="002C437B" w:rsidRPr="002C437B">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p>
    <w:p w14:paraId="58326A74" w14:textId="50E1285E" w:rsidR="008E5155" w:rsidRDefault="00577052" w:rsidP="006D3EBC">
      <w:pPr>
        <w:spacing w:before="240" w:after="60" w:line="276" w:lineRule="auto"/>
        <w:ind w:left="720" w:right="543"/>
        <w:jc w:val="both"/>
        <w:rPr>
          <w:rFonts w:ascii="Palatino Linotype" w:eastAsia="Palatino Linotype" w:hAnsi="Palatino Linotype"/>
          <w:sz w:val="20"/>
          <w:szCs w:val="20"/>
          <w:u w:color="000000"/>
          <w:bdr w:val="nil"/>
          <w:lang w:bidi="en-US"/>
          <w14:textOutline w14:w="0" w14:cap="flat" w14:cmpd="sng" w14:algn="ctr">
            <w14:noFill/>
            <w14:prstDash w14:val="solid"/>
            <w14:bevel/>
          </w14:textOutline>
        </w:rPr>
      </w:pP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The </w:t>
      </w:r>
      <w:r w:rsidR="0086072E">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use of </w:t>
      </w: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plants for therapeutic </w:t>
      </w:r>
      <w:r w:rsidR="0086072E">
        <w:rPr>
          <w:rFonts w:ascii="Palatino Linotype" w:eastAsia="Palatino Linotype" w:hAnsi="Palatino Linotype"/>
          <w:sz w:val="20"/>
          <w:szCs w:val="20"/>
          <w:u w:color="000000"/>
          <w:bdr w:val="nil"/>
          <w:lang w:bidi="en-US"/>
          <w14:textOutline w14:w="0" w14:cap="flat" w14:cmpd="sng" w14:algn="ctr">
            <w14:noFill/>
            <w14:prstDash w14:val="solid"/>
            <w14:bevel/>
          </w14:textOutline>
        </w:rPr>
        <w:t>properties</w:t>
      </w: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is an old concept which garnered significant interest recently.  </w:t>
      </w:r>
      <w:r w:rsidR="0086072E">
        <w:rPr>
          <w:rFonts w:ascii="Palatino Linotype" w:eastAsia="Palatino Linotype" w:hAnsi="Palatino Linotype"/>
          <w:sz w:val="20"/>
          <w:szCs w:val="20"/>
          <w:u w:color="000000"/>
          <w:bdr w:val="nil"/>
          <w:lang w:bidi="en-US"/>
          <w14:textOutline w14:w="0" w14:cap="flat" w14:cmpd="sng" w14:algn="ctr">
            <w14:noFill/>
            <w14:prstDash w14:val="solid"/>
            <w14:bevel/>
          </w14:textOutline>
        </w:rPr>
        <w:t>Plant</w:t>
      </w:r>
      <w:r w:rsidR="008E5155">
        <w:rPr>
          <w:rFonts w:ascii="Palatino Linotype" w:eastAsia="Palatino Linotype" w:hAnsi="Palatino Linotype"/>
          <w:sz w:val="20"/>
          <w:szCs w:val="20"/>
          <w:u w:color="000000"/>
          <w:bdr w:val="nil"/>
          <w:lang w:bidi="en-US"/>
          <w14:textOutline w14:w="0" w14:cap="flat" w14:cmpd="sng" w14:algn="ctr">
            <w14:noFill/>
            <w14:prstDash w14:val="solid"/>
            <w14:bevel/>
          </w14:textOutline>
        </w:rPr>
        <w:t>-</w:t>
      </w:r>
      <w:r w:rsidR="0086072E">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based therapies have been shown to deliver a </w:t>
      </w: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variety of biological </w:t>
      </w:r>
      <w:r w:rsidR="00F2768F">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actions alongside </w:t>
      </w: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safe application favored their use over traditional synthetic medications.</w:t>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Owing to their extensive antibacterial, anti-inflammatory, and antioxidant characteristics, plant-derived alternatives may serve as a stable, safe, and enriched bioactive substitute to synthetic medications </w:t>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fldChar w:fldCharType="begin"/>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&lt;EndNote&gt;&lt;Cite&gt;&lt;Author&gt;Farnsworth&lt;/Author&gt;&lt;Year&gt;1985&lt;/Year&gt;&lt;RecNum&gt;9&lt;/RecNum&gt;&lt;DisplayText&gt;(5)&lt;/DisplayText&gt;&lt;record&gt;&lt;rec-number&gt;9&lt;/rec-number&gt;&lt;foreign-keys&gt;&lt;key app="EN" db-id="zszrveexjsf02neddtmxdaabtpdrw2xp5zwp" timestamp="1607601176"&gt;9&lt;/key&gt;&lt;/foreign-keys&gt;&lt;ref-type name="Journal Article"&gt;17&lt;/ref-type&gt;&lt;contributors&gt;&lt;authors&gt;&lt;author&gt;Farnsworth, Norman R&lt;/author&gt;&lt;author&gt;Akerele, Olayiwola&lt;/author&gt;&lt;author&gt;Bingel, Audrey S&lt;/author&gt;&lt;author&gt;Soejarto, Djaja D&lt;/author&gt;&lt;author&gt;Guo, Zhengang&lt;/author&gt;&lt;/authors&gt;&lt;/contributors&gt;&lt;titles&gt;&lt;title&gt;Medicinal plants in therapy&lt;/title&gt;&lt;secondary-title&gt;Bulletin of the world health organization&lt;/secondary-title&gt;&lt;/titles&gt;&lt;periodical&gt;&lt;full-title&gt;Bulletin of the world health organization&lt;/full-title&gt;&lt;/periodical&gt;&lt;pages&gt;965&lt;/pages&gt;&lt;volume&gt;63&lt;/volume&gt;&lt;number&gt;6&lt;/number&gt;&lt;dates&gt;&lt;year&gt;1985&lt;/year&gt;&lt;/dates&gt;&lt;urls&gt;&lt;/urls&gt;&lt;/record&gt;&lt;/Cite&gt;&lt;/EndNote&gt;</w:instrText>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fldChar w:fldCharType="separate"/>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FD368A">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9</w:t>
      </w:r>
      <w:r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Pr="00376BE8">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fldChar w:fldCharType="end"/>
      </w:r>
      <w:r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008E5155"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Moreover, plant-based therapies offer advantages in terms of availability, easily accessible and </w:t>
      </w:r>
      <w:r w:rsidR="00613DC5"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more economical compared to</w:t>
      </w:r>
      <w:r w:rsidR="008E5155"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conventional antibiotics</w:t>
      </w:r>
      <w:r w:rsidR="00613DC5"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since they do not necessitate complex or costly chemical and pharmaceutical processes</w:t>
      </w:r>
      <w:r w:rsidR="008E5155"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00613DC5"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Conversely, the development of new antibiotics involves a highly intricate and prolonged process that is susceptible to challenges and substantial expenses, for example, </w:t>
      </w:r>
      <w:r w:rsidR="0009103B"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d</w:t>
      </w:r>
      <w:r w:rsidR="00A8289E"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eveloping new antibiotics is resource-intensive, often requiring 10–15 years and over a billion dollars</w:t>
      </w:r>
      <w:r w:rsidR="00112697"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r w:rsidR="00112697"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FD368A">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10</w:t>
      </w:r>
      <w:r w:rsidR="00112697" w:rsidRPr="00376BE8">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A8289E"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w:t>
      </w:r>
      <w:r w:rsidR="008E5155" w:rsidRPr="00376BE8">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w:t>
      </w:r>
    </w:p>
    <w:p w14:paraId="43886D26" w14:textId="215473D0" w:rsidR="00577052" w:rsidRPr="00DC340C" w:rsidRDefault="00577052" w:rsidP="006D3EBC">
      <w:pPr>
        <w:spacing w:before="240" w:after="60" w:line="276" w:lineRule="auto"/>
        <w:ind w:left="720" w:right="543"/>
        <w:jc w:val="both"/>
        <w:rPr>
          <w:rFonts w:ascii="Palatino Linotype" w:eastAsia="Palatino Linotype" w:hAnsi="Palatino Linotype"/>
          <w:sz w:val="20"/>
          <w:szCs w:val="20"/>
          <w:u w:color="000000"/>
          <w:bdr w:val="nil"/>
          <w:lang w:bidi="en-US"/>
          <w14:textOutline w14:w="0" w14:cap="flat" w14:cmpd="sng" w14:algn="ctr">
            <w14:noFill/>
            <w14:prstDash w14:val="solid"/>
            <w14:bevel/>
          </w14:textOutline>
        </w:rPr>
      </w:pP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An example of such medicinal herbs is the </w:t>
      </w:r>
      <w:r w:rsidRPr="00BA61B1">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leaves of </w:t>
      </w:r>
      <w:r w:rsidR="00BA61B1" w:rsidRPr="00BA61B1">
        <w:rPr>
          <w:rFonts w:ascii="Palatino Linotype" w:hAnsi="Palatino Linotype"/>
          <w:sz w:val="20"/>
          <w:szCs w:val="20"/>
        </w:rPr>
        <w:t>Moringa oleifera L (Mo)</w:t>
      </w: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a member of the </w:t>
      </w:r>
      <w:proofErr w:type="spellStart"/>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Moringaceae</w:t>
      </w:r>
      <w:proofErr w:type="spellEnd"/>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family. These leaves have been utilized due to their antioxidant, anti-inflammatory, and </w:t>
      </w: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lastRenderedPageBreak/>
        <w:t xml:space="preserve">antimicrobial properties. Initial epidemiological studies indicate that it exhibits antimicrobial effects against primary colonizers of dental biofilm, including </w:t>
      </w:r>
      <w:r w:rsidR="00E0706E" w:rsidRPr="00E0706E">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Streptococcus mutans</w:t>
      </w:r>
      <w:r w:rsidRPr="00DC340C">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 xml:space="preserve">, </w:t>
      </w:r>
      <w:r w:rsidR="008A5C3C" w:rsidRPr="008A5C3C">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Streptococcus salivarius</w:t>
      </w:r>
      <w:r w:rsidRPr="00DC340C">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 xml:space="preserve">, </w:t>
      </w:r>
      <w:r w:rsidR="00915461" w:rsidRPr="00915461">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Streptococcus mitis</w:t>
      </w:r>
      <w:r w:rsidRPr="00DC340C">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 xml:space="preserve">, and </w:t>
      </w:r>
      <w:r w:rsidR="006C3587" w:rsidRPr="006C3587">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 xml:space="preserve">Streptococcus </w:t>
      </w:r>
      <w:proofErr w:type="spellStart"/>
      <w:r w:rsidR="006C3587" w:rsidRPr="006C3587">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anginosus</w:t>
      </w:r>
      <w:proofErr w:type="spellEnd"/>
      <w:r w:rsidR="006C3587" w:rsidRPr="006C3587">
        <w:rPr>
          <w:rFonts w:ascii="Palatino Linotype" w:eastAsia="Palatino Linotype" w:hAnsi="Palatino Linotype"/>
          <w:i/>
          <w:iCs/>
          <w:sz w:val="20"/>
          <w:szCs w:val="20"/>
          <w:u w:color="000000"/>
          <w:bdr w:val="nil"/>
          <w:lang w:bidi="en-US"/>
          <w14:textOutline w14:w="0" w14:cap="flat" w14:cmpd="sng" w14:algn="ctr">
            <w14:noFill/>
            <w14:prstDash w14:val="solid"/>
            <w14:bevel/>
          </w14:textOutline>
        </w:rPr>
        <w:t xml:space="preserve"> </w:t>
      </w:r>
      <w:r w:rsidRPr="003F0587">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fldChar w:fldCharType="begin">
          <w:fldData xml:space="preserve">PEVuZE5vdGU+PENpdGU+PEF1dGhvcj5SYW88L0F1dGhvcj48WWVhcj4yMDExPC9ZZWFyPjxSZWNO
dW0+MTE8L1JlY051bT48RGlzcGxheVRleHQ+KDctMTApPC9EaXNwbGF5VGV4dD48cmVjb3JkPjxy
ZWMtbnVtYmVyPjExPC9yZWMtbnVtYmVyPjxmb3JlaWduLWtleXM+PGtleSBhcHA9IkVOIiBkYi1p
ZD0ienN6cnZlZXhqc2YwMm5lZGR0bXhkYWFidHBkcncyeHA1endwIiB0aW1lc3RhbXA9IjE2MDc2
MDExNzYiPjExPC9rZXk+PC9mb3JlaWduLWtleXM+PHJlZi10eXBlIG5hbWU9IkpvdXJuYWwgQXJ0
aWNsZSI+MTc8L3JlZi10eXBlPjxjb250cmlidXRvcnM+PGF1dGhvcnM+PGF1dGhvcj5SYW8sIFAg
S290ZXN3YXJhPC9hdXRob3I+PGF1dGhvcj5SYW8sIEQgQmhhc2thcjwvYXV0aG9yPjxhdXRob3I+
S2lyYW4sIENSPC9hdXRob3I+PGF1dGhvcj5OYWRoLCBNIFJhdmluZHJhPC9hdXRob3I+PGF1dGhv
cj5NYWRoYXZpLCBZPC9hdXRob3I+PGF1dGhvcj5SYW8sIFQgUmFnaGF2YTwvYXV0aG9yPjwvYXV0
aG9ycz48L2NvbnRyaWJ1dG9ycz48dGl0bGVzPjx0aXRsZT5JbiB2aXRybyBhbnRpYmFjdGVyaWFs
IGFjdGl2aXR5IG9mIE1vcmluZ2Egb2xlaWZlcmEgYWdhaW5zdCBkZW50YWwgcGxhcXVlIGJhY3Rl
cmlhPC90aXRsZT48c2Vjb25kYXJ5LXRpdGxlPkpvdXJuYWwgb2YgUGhhcm1hY3kgUmVzZWFyY2g8
L3NlY29uZGFyeS10aXRsZT48L3RpdGxlcz48cGVyaW9kaWNhbD48ZnVsbC10aXRsZT5Kb3VybmFs
IG9mIFBoYXJtYWN5IFJlc2VhcmNoPC9mdWxsLXRpdGxlPjwvcGVyaW9kaWNhbD48cGFnZXM+Njk1
LTY5NzwvcGFnZXM+PHZvbHVtZT40PC92b2x1bWU+PG51bWJlcj4zPC9udW1iZXI+PGRhdGVzPjx5
ZWFyPjIwMTE8L3llYXI+PC9kYXRlcz48aXNibj4wOTc0LTY5NDM8L2lzYm4+PHVybHM+PC91cmxz
PjwvcmVjb3JkPjwvQ2l0ZT48Q2l0ZT48QXV0aG9yPkp3YTwvQXV0aG9yPjxZZWFyPjIwMTk8L1ll
YXI+PFJlY051bT4xMjwvUmVjTnVtPjxyZWNvcmQ+PHJlYy1udW1iZXI+MTI8L3JlYy1udW1iZXI+
PGZvcmVpZ24ta2V5cz48a2V5IGFwcD0iRU4iIGRiLWlkPSJ4MncwOTB2ZTR2cnJhNGU5MmZuNXcy
OXhyZnZ4YTBzejJ4c2QiIHRpbWVzdGFtcD0iMTYwNTgyMDM5MSI+MTI8L2tleT48L2ZvcmVpZ24t
a2V5cz48cmVmLXR5cGUgbmFtZT0iSm91cm5hbCBBcnRpY2xlIj4xNzwvcmVmLXR5cGU+PGNvbnRy
aWJ1dG9ycz48YXV0aG9ycz48YXV0aG9yPkp3YSwgUy4gSy48L2F1dGhvcj48L2F1dGhvcnM+PC9j
b250cmlidXRvcnM+PGF1dGgtYWRkcmVzcz5EZXBhcnRtZW50IG9mIERlbnRhbCBIeWdpZW5lLCBV
bHNhbiBDb2xsZWdlLCBVbHNhbiwgS29yZWEuPC9hdXRoLWFkZHJlc3M+PHRpdGxlcz48dGl0bGU+
RWZmaWNhY3kgb2YgTW9yaW5nYSBvbGVpZmVyYSBMZWFmIEV4dHJhY3RzIGFnYWluc3QgQ2FyaW9n
ZW5pYyBCaW9maWxtPC90aXRsZT48c2Vjb25kYXJ5LXRpdGxlPlByZXYgTnV0ciBGb29kIFNjaTwv
c2Vjb25kYXJ5LXRpdGxlPjwvdGl0bGVzPjxwZXJpb2RpY2FsPjxmdWxsLXRpdGxlPlByZXYgTnV0
ciBGb29kIFNjaTwvZnVsbC10aXRsZT48L3BlcmlvZGljYWw+PHBhZ2VzPjMwOC0zMTI8L3BhZ2Vz
Pjx2b2x1bWU+MjQ8L3ZvbHVtZT48bnVtYmVyPjM8L251bWJlcj48ZWRpdGlvbj4yMDE5LzEwLzE1
PC9lZGl0aW9uPjxrZXl3b3Jkcz48a2V5d29yZD5Nb3JpbmdhIG9sZWlmZXJhPC9rZXl3b3JkPjxr
ZXl3b3JkPmFudGltaWNyb2JpYWwgYWN0aXZpdHk8L2tleXdvcmQ+PGtleXdvcmQ+bGVhZiBleHRy
YWN0PC9rZXl3b3JkPjxrZXl3b3JkPm9yYWwgYmlvZmlsbTwva2V5d29yZD48L2tleXdvcmRzPjxk
YXRlcz48eWVhcj4yMDE5PC95ZWFyPjxwdWItZGF0ZXM+PGRhdGU+U2VwPC9kYXRlPjwvcHViLWRh
dGVzPjwvZGF0ZXM+PGlzYm4+MjI4Ny0xMDk4IChQcmludCkmI3hEOzIyODctMTA5OCAoTGlua2lu
Zyk8L2lzYm4+PGFjY2Vzc2lvbi1udW0+MzE2MDgyNTY8L2FjY2Vzc2lvbi1udW0+PHVybHM+PHJl
bGF0ZWQtdXJscz48dXJsPmh0dHBzOi8vd3d3Lm5jYmkubmxtLm5paC5nb3YvcHVibWVkLzMxNjA4
MjU2PC91cmw+PC9yZWxhdGVkLXVybHM+PC91cmxzPjxjdXN0b20yPlBNQzY3NzkwNzk8L2N1c3Rv
bTI+PGVsZWN0cm9uaWMtcmVzb3VyY2UtbnVtPjEwLjM3NDYvcG5mLjIwMTkuMjQuMy4zMDg8L2Vs
ZWN0cm9uaWMtcmVzb3VyY2UtbnVtPjwvcmVjb3JkPjwvQ2l0ZT48Q2l0ZT48QXV0aG9yPkVsZ2Ft
aWx5PC9BdXRob3I+PFllYXI+MjAxNjwvWWVhcj48UmVjTnVtPjExPC9SZWNOdW0+PHJlY29yZD48
cmVjLW51bWJlcj4xMTwvcmVjLW51bWJlcj48Zm9yZWlnbi1rZXlzPjxrZXkgYXBwPSJFTiIgZGIt
aWQ9IngydzA5MHZlNHZycmE0ZTkyZm41dzI5eHJmdnhhMHN6MnhzZCIgdGltZXN0YW1wPSIxNjA1
ODIwMzg2Ij4xMTwva2V5PjwvZm9yZWlnbi1rZXlzPjxyZWYtdHlwZSBuYW1lPSJKb3VybmFsIEFy
dGljbGUiPjE3PC9yZWYtdHlwZT48Y29udHJpYnV0b3JzPjxhdXRob3JzPjxhdXRob3I+RWxnYW1p
bHksIEguPC9hdXRob3I+PGF1dGhvcj5Nb3Vzc2EsIEEuPC9hdXRob3I+PGF1dGhvcj5FbGJvcmFl
eSwgQS48L2F1dGhvcj48YXV0aG9yPkVsLVNheWVkLCBILjwvYXV0aG9yPjxhdXRob3I+QWwtTW9n
aGF6eSwgTS48L2F1dGhvcj48YXV0aG9yPkFiZGFsbGEsIEEuPC9hdXRob3I+PC9hdXRob3JzPjwv
Y29udHJpYnV0b3JzPjxhdXRoLWFkZHJlc3M+TmF0aW9uYWwgUmVzZWFyY2ggQ2VudHJlLCBSZXN0
b3JhdGl2ZSBEZW50aXN0cnkgYW5kIERlbnRhbCBNYXRlcmlhbCBSZXNlYXJjaCBEZXBhcnRtZW50
LCBHaXphLCBFZ3lwdC4mI3hEO05hdGlvbmFsIFJlc2VhcmNoIENlbnRyZSwgUHJvc3Rob2RvbnRp
Y3MsIEdpemEsIEVneXB0LiYjeEQ7TmF0aW9uYWwgUmVzZWFyY2ggQ2VudHJlLCBEYWlyeSBTY2ll
bmNlIERlcGFydG1lbnQgKE1pY3JvYmlvbG9neSBMYWIuKSwgRm9vZCBJbmR1c3RyaWVzIGFuZCBO
dXRyaXRpb24gRGl2aXNpb24sIEdpemEsIEVneXB0LiYjeEQ7TmF0aW9uYWwgUmVzZWFyY2ggQ2Vu
dHJlLCBUZWNobm9sb2d5IG9mIEhvcnRpY3VsdHVyZSBDcm9wcyBEZXBhcnRtZW50LCBBZ3JpY3Vs
dHVyZSBSZXNlYXJjaCBEaXZpc2lvbiwgR2l6YSwgRWd5cHQuPC9hdXRoLWFkZHJlc3M+PHRpdGxl
cz48dGl0bGU+TWljcm9iaW9sb2dpY2FsIEFzc2Vzc21lbnQgb2YgTW9yaW5nYSBPbGVpZmVyYSBF
eHRyYWN0cyBhbmQgSXRzIEluY29ycG9yYXRpb24gaW4gTm92ZWwgRGVudGFsIFJlbWVkaWVzIGFn
YWluc3QgU29tZSBPcmFsIFBhdGhvZ2VuczwvdGl0bGU+PHNlY29uZGFyeS10aXRsZT5PcGVuIEFj
Y2VzcyBNYWNlZCBKIE1lZCBTY2k8L3NlY29uZGFyeS10aXRsZT48L3RpdGxlcz48cGVyaW9kaWNh
bD48ZnVsbC10aXRsZT5PcGVuIEFjY2VzcyBNYWNlZCBKIE1lZCBTY2k8L2Z1bGwtdGl0bGU+PC9w
ZXJpb2RpY2FsPjxwYWdlcz41ODUtNTkwPC9wYWdlcz48dm9sdW1lPjQ8L3ZvbHVtZT48bnVtYmVy
PjQ8L251bWJlcj48ZWRpdGlvbj4yMDE2LzEyLzI5PC9lZGl0aW9uPjxrZXl3b3Jkcz48a2V5d29y
ZD4oTm92ZWwgRGVudGFsIFJlbWVkaWVzKTwva2V5d29yZD48a2V5d29yZD5BbnRpbWljcm9iaWFs
IEFjdGl2aXR5PC9rZXl3b3JkPjxrZXl3b3JkPk1vcmluZ2EgZXh0cmFjdDwva2V5d29yZD48a2V5
d29yZD5Ob3ZlbCBleHBlcmltZW50YWwgdG9vdGggcGFzdGU8L2tleXdvcmQ+PGtleXdvcmQ+bW91
dGggd2FzaDwva2V5d29yZD48L2tleXdvcmRzPjxkYXRlcz48eWVhcj4yMDE2PC95ZWFyPjxwdWIt
ZGF0ZXM+PGRhdGU+RGVjIDE1PC9kYXRlPjwvcHViLWRhdGVzPjwvZGF0ZXM+PGlzYm4+MTg1Ny05
NjU1IChQcmludCkmI3hEOzE4NTctOTY1NSAoTGlua2luZyk8L2lzYm4+PGFjY2Vzc2lvbi1udW0+
MjgwMjgzOTU8L2FjY2Vzc2lvbi1udW0+PHVybHM+PHJlbGF0ZWQtdXJscz48dXJsPmh0dHBzOi8v
d3d3Lm5jYmkubmxtLm5paC5nb3YvcHVibWVkLzI4MDI4Mzk1PC91cmw+PC9yZWxhdGVkLXVybHM+
PC91cmxzPjxjdXN0b20yPlBNQzUxNzU1MDM8L2N1c3RvbTI+PGVsZWN0cm9uaWMtcmVzb3VyY2Ut
bnVtPjEwLjM4ODkvb2Ftam1zLjIwMTYuMTMyPC9lbGVjdHJvbmljLXJlc291cmNlLW51bT48L3Jl
Y29yZD48L0NpdGU+PENpdGU+PEF1dGhvcj5GYWpyaWFuaTwvQXV0aG9yPjxZZWFyPjIwMTk8L1ll
YXI+PFJlY051bT4yMTc8L1JlY051bT48cmVjb3JkPjxyZWMtbnVtYmVyPjIxNzwvcmVjLW51bWJl
cj48Zm9yZWlnbi1rZXlzPjxrZXkgYXBwPSJFTiIgZGItaWQ9IngydzA5MHZlNHZycmE0ZTkyZm41
dzI5eHJmdnhhMHN6MnhzZCIgdGltZXN0YW1wPSIxNjEyNDIzNjIyIj4yMTc8L2tleT48L2ZvcmVp
Z24ta2V5cz48cmVmLXR5cGUgbmFtZT0iSm91cm5hbCBBcnRpY2xlIj4xNzwvcmVmLXR5cGU+PGNv
bnRyaWJ1dG9ycz48YXV0aG9ycz48YXV0aG9yPkZhanJpYW5pLCAmYW1wOyBJbnRpYW5hPC9hdXRo
b3I+PC9hdXRob3JzPjwvY29udHJpYnV0b3JzPjx0aXRsZXM+PHRpdGxlPlRoZSBlZmZlY3RpdmVu
ZXNzIG9mIGdhcmdsZSBjb250YWluIGV4dHJhY3Qgb2YmI3hEO01vcmluZ2Egb2xlaWZlcmEgbGVh
dmVzIHRvIGluaGliaXQgcGxhcXVlIGZvcm1hdGlvbiBvbiBlYXJseSBjaGlsZGhvb2QmI3hEO2Nh
cmllcyAoRUNDKTwvdGl0bGU+PHNlY29uZGFyeS10aXRsZT5JbnRlcm5hdGlvbmFsIEpvdXJuYWwg
b2YgQXBwbGllZCBQaGFybWFjZXV0aWNzPC9zZWNvbmRhcnktdGl0bGU+PC90aXRsZXM+PHBlcmlv
ZGljYWw+PGZ1bGwtdGl0bGU+SW50ZXJuYXRpb25hbCBKb3VybmFsIG9mIEFwcGxpZWQgUGhhcm1h
Y2V1dGljczwvZnVsbC10aXRsZT48L3BlcmlvZGljYWw+PHBhZ2VzPjQ24oCTNDk8L3BhZ2VzPjx2
b2x1bWU+MTEoNCk8L3ZvbHVtZT48ZGF0ZXM+PHllYXI+MjAxOTwveWVhcj48L2RhdGVzPjx1cmxz
PjwvdXJscz48L3JlY29yZD48L0NpdGU+PC9FbmROb3RlPn==
</w:fldData>
        </w:fldChar>
      </w:r>
      <w:r w:rsidRPr="003F0587">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instrText xml:space="preserve"> ADDIN EN.CITE </w:instrText>
      </w:r>
      <w:r w:rsidRPr="003F0587">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fldChar w:fldCharType="begin">
          <w:fldData xml:space="preserve">PEVuZE5vdGU+PENpdGU+PEF1dGhvcj5SYW88L0F1dGhvcj48WWVhcj4yMDExPC9ZZWFyPjxSZWNO
dW0+MTE8L1JlY051bT48RGlzcGxheVRleHQ+KDctMTApPC9EaXNwbGF5VGV4dD48cmVjb3JkPjxy
ZWMtbnVtYmVyPjExPC9yZWMtbnVtYmVyPjxmb3JlaWduLWtleXM+PGtleSBhcHA9IkVOIiBkYi1p
ZD0ienN6cnZlZXhqc2YwMm5lZGR0bXhkYWFidHBkcncyeHA1endwIiB0aW1lc3RhbXA9IjE2MDc2
MDExNzYiPjExPC9rZXk+PC9mb3JlaWduLWtleXM+PHJlZi10eXBlIG5hbWU9IkpvdXJuYWwgQXJ0
aWNsZSI+MTc8L3JlZi10eXBlPjxjb250cmlidXRvcnM+PGF1dGhvcnM+PGF1dGhvcj5SYW8sIFAg
S290ZXN3YXJhPC9hdXRob3I+PGF1dGhvcj5SYW8sIEQgQmhhc2thcjwvYXV0aG9yPjxhdXRob3I+
S2lyYW4sIENSPC9hdXRob3I+PGF1dGhvcj5OYWRoLCBNIFJhdmluZHJhPC9hdXRob3I+PGF1dGhv
cj5NYWRoYXZpLCBZPC9hdXRob3I+PGF1dGhvcj5SYW8sIFQgUmFnaGF2YTwvYXV0aG9yPjwvYXV0
aG9ycz48L2NvbnRyaWJ1dG9ycz48dGl0bGVzPjx0aXRsZT5JbiB2aXRybyBhbnRpYmFjdGVyaWFs
IGFjdGl2aXR5IG9mIE1vcmluZ2Egb2xlaWZlcmEgYWdhaW5zdCBkZW50YWwgcGxhcXVlIGJhY3Rl
cmlhPC90aXRsZT48c2Vjb25kYXJ5LXRpdGxlPkpvdXJuYWwgb2YgUGhhcm1hY3kgUmVzZWFyY2g8
L3NlY29uZGFyeS10aXRsZT48L3RpdGxlcz48cGVyaW9kaWNhbD48ZnVsbC10aXRsZT5Kb3VybmFs
IG9mIFBoYXJtYWN5IFJlc2VhcmNoPC9mdWxsLXRpdGxlPjwvcGVyaW9kaWNhbD48cGFnZXM+Njk1
LTY5NzwvcGFnZXM+PHZvbHVtZT40PC92b2x1bWU+PG51bWJlcj4zPC9udW1iZXI+PGRhdGVzPjx5
ZWFyPjIwMTE8L3llYXI+PC9kYXRlcz48aXNibj4wOTc0LTY5NDM8L2lzYm4+PHVybHM+PC91cmxz
PjwvcmVjb3JkPjwvQ2l0ZT48Q2l0ZT48QXV0aG9yPkp3YTwvQXV0aG9yPjxZZWFyPjIwMTk8L1ll
YXI+PFJlY051bT4xMjwvUmVjTnVtPjxyZWNvcmQ+PHJlYy1udW1iZXI+MTI8L3JlYy1udW1iZXI+
PGZvcmVpZ24ta2V5cz48a2V5IGFwcD0iRU4iIGRiLWlkPSJ4MncwOTB2ZTR2cnJhNGU5MmZuNXcy
OXhyZnZ4YTBzejJ4c2QiIHRpbWVzdGFtcD0iMTYwNTgyMDM5MSI+MTI8L2tleT48L2ZvcmVpZ24t
a2V5cz48cmVmLXR5cGUgbmFtZT0iSm91cm5hbCBBcnRpY2xlIj4xNzwvcmVmLXR5cGU+PGNvbnRy
aWJ1dG9ycz48YXV0aG9ycz48YXV0aG9yPkp3YSwgUy4gSy48L2F1dGhvcj48L2F1dGhvcnM+PC9j
b250cmlidXRvcnM+PGF1dGgtYWRkcmVzcz5EZXBhcnRtZW50IG9mIERlbnRhbCBIeWdpZW5lLCBV
bHNhbiBDb2xsZWdlLCBVbHNhbiwgS29yZWEuPC9hdXRoLWFkZHJlc3M+PHRpdGxlcz48dGl0bGU+
RWZmaWNhY3kgb2YgTW9yaW5nYSBvbGVpZmVyYSBMZWFmIEV4dHJhY3RzIGFnYWluc3QgQ2FyaW9n
ZW5pYyBCaW9maWxtPC90aXRsZT48c2Vjb25kYXJ5LXRpdGxlPlByZXYgTnV0ciBGb29kIFNjaTwv
c2Vjb25kYXJ5LXRpdGxlPjwvdGl0bGVzPjxwZXJpb2RpY2FsPjxmdWxsLXRpdGxlPlByZXYgTnV0
ciBGb29kIFNjaTwvZnVsbC10aXRsZT48L3BlcmlvZGljYWw+PHBhZ2VzPjMwOC0zMTI8L3BhZ2Vz
Pjx2b2x1bWU+MjQ8L3ZvbHVtZT48bnVtYmVyPjM8L251bWJlcj48ZWRpdGlvbj4yMDE5LzEwLzE1
PC9lZGl0aW9uPjxrZXl3b3Jkcz48a2V5d29yZD5Nb3JpbmdhIG9sZWlmZXJhPC9rZXl3b3JkPjxr
ZXl3b3JkPmFudGltaWNyb2JpYWwgYWN0aXZpdHk8L2tleXdvcmQ+PGtleXdvcmQ+bGVhZiBleHRy
YWN0PC9rZXl3b3JkPjxrZXl3b3JkPm9yYWwgYmlvZmlsbTwva2V5d29yZD48L2tleXdvcmRzPjxk
YXRlcz48eWVhcj4yMDE5PC95ZWFyPjxwdWItZGF0ZXM+PGRhdGU+U2VwPC9kYXRlPjwvcHViLWRh
dGVzPjwvZGF0ZXM+PGlzYm4+MjI4Ny0xMDk4IChQcmludCkmI3hEOzIyODctMTA5OCAoTGlua2lu
Zyk8L2lzYm4+PGFjY2Vzc2lvbi1udW0+MzE2MDgyNTY8L2FjY2Vzc2lvbi1udW0+PHVybHM+PHJl
bGF0ZWQtdXJscz48dXJsPmh0dHBzOi8vd3d3Lm5jYmkubmxtLm5paC5nb3YvcHVibWVkLzMxNjA4
MjU2PC91cmw+PC9yZWxhdGVkLXVybHM+PC91cmxzPjxjdXN0b20yPlBNQzY3NzkwNzk8L2N1c3Rv
bTI+PGVsZWN0cm9uaWMtcmVzb3VyY2UtbnVtPjEwLjM3NDYvcG5mLjIwMTkuMjQuMy4zMDg8L2Vs
ZWN0cm9uaWMtcmVzb3VyY2UtbnVtPjwvcmVjb3JkPjwvQ2l0ZT48Q2l0ZT48QXV0aG9yPkVsZ2Ft
aWx5PC9BdXRob3I+PFllYXI+MjAxNjwvWWVhcj48UmVjTnVtPjExPC9SZWNOdW0+PHJlY29yZD48
cmVjLW51bWJlcj4xMTwvcmVjLW51bWJlcj48Zm9yZWlnbi1rZXlzPjxrZXkgYXBwPSJFTiIgZGIt
aWQ9IngydzA5MHZlNHZycmE0ZTkyZm41dzI5eHJmdnhhMHN6MnhzZCIgdGltZXN0YW1wPSIxNjA1
ODIwMzg2Ij4xMTwva2V5PjwvZm9yZWlnbi1rZXlzPjxyZWYtdHlwZSBuYW1lPSJKb3VybmFsIEFy
dGljbGUiPjE3PC9yZWYtdHlwZT48Y29udHJpYnV0b3JzPjxhdXRob3JzPjxhdXRob3I+RWxnYW1p
bHksIEguPC9hdXRob3I+PGF1dGhvcj5Nb3Vzc2EsIEEuPC9hdXRob3I+PGF1dGhvcj5FbGJvcmFl
eSwgQS48L2F1dGhvcj48YXV0aG9yPkVsLVNheWVkLCBILjwvYXV0aG9yPjxhdXRob3I+QWwtTW9n
aGF6eSwgTS48L2F1dGhvcj48YXV0aG9yPkFiZGFsbGEsIEEuPC9hdXRob3I+PC9hdXRob3JzPjwv
Y29udHJpYnV0b3JzPjxhdXRoLWFkZHJlc3M+TmF0aW9uYWwgUmVzZWFyY2ggQ2VudHJlLCBSZXN0
b3JhdGl2ZSBEZW50aXN0cnkgYW5kIERlbnRhbCBNYXRlcmlhbCBSZXNlYXJjaCBEZXBhcnRtZW50
LCBHaXphLCBFZ3lwdC4mI3hEO05hdGlvbmFsIFJlc2VhcmNoIENlbnRyZSwgUHJvc3Rob2RvbnRp
Y3MsIEdpemEsIEVneXB0LiYjeEQ7TmF0aW9uYWwgUmVzZWFyY2ggQ2VudHJlLCBEYWlyeSBTY2ll
bmNlIERlcGFydG1lbnQgKE1pY3JvYmlvbG9neSBMYWIuKSwgRm9vZCBJbmR1c3RyaWVzIGFuZCBO
dXRyaXRpb24gRGl2aXNpb24sIEdpemEsIEVneXB0LiYjeEQ7TmF0aW9uYWwgUmVzZWFyY2ggQ2Vu
dHJlLCBUZWNobm9sb2d5IG9mIEhvcnRpY3VsdHVyZSBDcm9wcyBEZXBhcnRtZW50LCBBZ3JpY3Vs
dHVyZSBSZXNlYXJjaCBEaXZpc2lvbiwgR2l6YSwgRWd5cHQuPC9hdXRoLWFkZHJlc3M+PHRpdGxl
cz48dGl0bGU+TWljcm9iaW9sb2dpY2FsIEFzc2Vzc21lbnQgb2YgTW9yaW5nYSBPbGVpZmVyYSBF
eHRyYWN0cyBhbmQgSXRzIEluY29ycG9yYXRpb24gaW4gTm92ZWwgRGVudGFsIFJlbWVkaWVzIGFn
YWluc3QgU29tZSBPcmFsIFBhdGhvZ2VuczwvdGl0bGU+PHNlY29uZGFyeS10aXRsZT5PcGVuIEFj
Y2VzcyBNYWNlZCBKIE1lZCBTY2k8L3NlY29uZGFyeS10aXRsZT48L3RpdGxlcz48cGVyaW9kaWNh
bD48ZnVsbC10aXRsZT5PcGVuIEFjY2VzcyBNYWNlZCBKIE1lZCBTY2k8L2Z1bGwtdGl0bGU+PC9w
ZXJpb2RpY2FsPjxwYWdlcz41ODUtNTkwPC9wYWdlcz48dm9sdW1lPjQ8L3ZvbHVtZT48bnVtYmVy
PjQ8L251bWJlcj48ZWRpdGlvbj4yMDE2LzEyLzI5PC9lZGl0aW9uPjxrZXl3b3Jkcz48a2V5d29y
ZD4oTm92ZWwgRGVudGFsIFJlbWVkaWVzKTwva2V5d29yZD48a2V5d29yZD5BbnRpbWljcm9iaWFs
IEFjdGl2aXR5PC9rZXl3b3JkPjxrZXl3b3JkPk1vcmluZ2EgZXh0cmFjdDwva2V5d29yZD48a2V5
d29yZD5Ob3ZlbCBleHBlcmltZW50YWwgdG9vdGggcGFzdGU8L2tleXdvcmQ+PGtleXdvcmQ+bW91
dGggd2FzaDwva2V5d29yZD48L2tleXdvcmRzPjxkYXRlcz48eWVhcj4yMDE2PC95ZWFyPjxwdWIt
ZGF0ZXM+PGRhdGU+RGVjIDE1PC9kYXRlPjwvcHViLWRhdGVzPjwvZGF0ZXM+PGlzYm4+MTg1Ny05
NjU1IChQcmludCkmI3hEOzE4NTctOTY1NSAoTGlua2luZyk8L2lzYm4+PGFjY2Vzc2lvbi1udW0+
MjgwMjgzOTU8L2FjY2Vzc2lvbi1udW0+PHVybHM+PHJlbGF0ZWQtdXJscz48dXJsPmh0dHBzOi8v
d3d3Lm5jYmkubmxtLm5paC5nb3YvcHVibWVkLzI4MDI4Mzk1PC91cmw+PC9yZWxhdGVkLXVybHM+
PC91cmxzPjxjdXN0b20yPlBNQzUxNzU1MDM8L2N1c3RvbTI+PGVsZWN0cm9uaWMtcmVzb3VyY2Ut
bnVtPjEwLjM4ODkvb2Ftam1zLjIwMTYuMTMyPC9lbGVjdHJvbmljLXJlc291cmNlLW51bT48L3Jl
Y29yZD48L0NpdGU+PENpdGU+PEF1dGhvcj5GYWpyaWFuaTwvQXV0aG9yPjxZZWFyPjIwMTk8L1ll
YXI+PFJlY051bT4yMTc8L1JlY051bT48cmVjb3JkPjxyZWMtbnVtYmVyPjIxNzwvcmVjLW51bWJl
cj48Zm9yZWlnbi1rZXlzPjxrZXkgYXBwPSJFTiIgZGItaWQ9IngydzA5MHZlNHZycmE0ZTkyZm41
dzI5eHJmdnhhMHN6MnhzZCIgdGltZXN0YW1wPSIxNjEyNDIzNjIyIj4yMTc8L2tleT48L2ZvcmVp
Z24ta2V5cz48cmVmLXR5cGUgbmFtZT0iSm91cm5hbCBBcnRpY2xlIj4xNzwvcmVmLXR5cGU+PGNv
bnRyaWJ1dG9ycz48YXV0aG9ycz48YXV0aG9yPkZhanJpYW5pLCAmYW1wOyBJbnRpYW5hPC9hdXRo
b3I+PC9hdXRob3JzPjwvY29udHJpYnV0b3JzPjx0aXRsZXM+PHRpdGxlPlRoZSBlZmZlY3RpdmVu
ZXNzIG9mIGdhcmdsZSBjb250YWluIGV4dHJhY3Qgb2YmI3hEO01vcmluZ2Egb2xlaWZlcmEgbGVh
dmVzIHRvIGluaGliaXQgcGxhcXVlIGZvcm1hdGlvbiBvbiBlYXJseSBjaGlsZGhvb2QmI3hEO2Nh
cmllcyAoRUNDKTwvdGl0bGU+PHNlY29uZGFyeS10aXRsZT5JbnRlcm5hdGlvbmFsIEpvdXJuYWwg
b2YgQXBwbGllZCBQaGFybWFjZXV0aWNzPC9zZWNvbmRhcnktdGl0bGU+PC90aXRsZXM+PHBlcmlv
ZGljYWw+PGZ1bGwtdGl0bGU+SW50ZXJuYXRpb25hbCBKb3VybmFsIG9mIEFwcGxpZWQgUGhhcm1h
Y2V1dGljczwvZnVsbC10aXRsZT48L3BlcmlvZGljYWw+PHBhZ2VzPjQ24oCTNDk8L3BhZ2VzPjx2
b2x1bWU+MTEoNCk8L3ZvbHVtZT48ZGF0ZXM+PHllYXI+MjAxOTwveWVhcj48L2RhdGVzPjx1cmxz
PjwvdXJscz48L3JlY29yZD48L0NpdGU+PC9FbmROb3RlPn==
</w:fldData>
        </w:fldChar>
      </w:r>
      <w:r w:rsidRPr="003F0587">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instrText xml:space="preserve"> ADDIN EN.CITE.DATA </w:instrText>
      </w:r>
      <w:r w:rsidRPr="003F0587">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r>
      <w:r w:rsidRPr="003F0587">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fldChar w:fldCharType="end"/>
      </w:r>
      <w:r w:rsidRPr="003F0587">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r>
      <w:r w:rsidRPr="003F0587">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fldChar w:fldCharType="separate"/>
      </w:r>
      <w:r w:rsidRPr="003F0587">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00FD368A">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11</w:t>
      </w:r>
      <w:r w:rsidRPr="003F0587">
        <w:rPr>
          <w:rFonts w:ascii="Palatino Linotype" w:eastAsia="Palatino Linotype" w:hAnsi="Palatino Linotype"/>
          <w:sz w:val="20"/>
          <w:szCs w:val="20"/>
          <w:u w:color="000000"/>
          <w:bdr w:val="nil"/>
          <w:vertAlign w:val="superscript"/>
          <w:lang w:bidi="en-US"/>
          <w14:textOutline w14:w="0" w14:cap="flat" w14:cmpd="sng" w14:algn="ctr">
            <w14:noFill/>
            <w14:prstDash w14:val="solid"/>
            <w14:bevel/>
          </w14:textOutline>
        </w:rPr>
        <w:t>)</w:t>
      </w:r>
      <w:r w:rsidRPr="003F0587">
        <w:rPr>
          <w:rFonts w:ascii="Palatino Linotype" w:eastAsia="Palatino Linotype" w:hAnsi="Palatino Linotype"/>
          <w:sz w:val="20"/>
          <w:szCs w:val="20"/>
          <w:u w:color="000000"/>
          <w:bdr w:val="nil"/>
          <w:vertAlign w:val="superscript"/>
          <w14:textOutline w14:w="0" w14:cap="flat" w14:cmpd="sng" w14:algn="ctr">
            <w14:noFill/>
            <w14:prstDash w14:val="solid"/>
            <w14:bevel/>
          </w14:textOutline>
        </w:rPr>
        <w:fldChar w:fldCharType="end"/>
      </w: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The antimicrobial efficacy is attributed to the </w:t>
      </w:r>
      <w:r w:rsidRPr="00DC340C">
        <w:rPr>
          <w:rFonts w:ascii="Palatino Linotype" w:eastAsia="Palatino Linotype" w:hAnsi="Palatino Linotype"/>
          <w:sz w:val="20"/>
          <w:szCs w:val="20"/>
          <w:u w:color="000000"/>
          <w:bdr w:val="nil"/>
          <w:lang w:val="en-GB"/>
          <w14:textOutline w14:w="0" w14:cap="flat" w14:cmpd="sng" w14:algn="ctr">
            <w14:noFill/>
            <w14:prstDash w14:val="solid"/>
            <w14:bevel/>
          </w14:textOutline>
        </w:rPr>
        <w:t>existence</w:t>
      </w:r>
      <w:r w:rsidRPr="00DC340C">
        <w:rPr>
          <w:rFonts w:ascii="Palatino Linotype" w:eastAsia="Palatino Linotype" w:hAnsi="Palatino Linotype"/>
          <w:sz w:val="20"/>
          <w:szCs w:val="20"/>
          <w:u w:color="000000"/>
          <w:bdr w:val="nil"/>
          <w:lang w:bidi="en-US"/>
          <w14:textOutline w14:w="0" w14:cap="flat" w14:cmpd="sng" w14:algn="ctr">
            <w14:noFill/>
            <w14:prstDash w14:val="solid"/>
            <w14:bevel/>
          </w14:textOutline>
        </w:rPr>
        <w:t xml:space="preserve"> of tannins, fatty acids, alkaloids, polyphenols and other active ingredients.</w:t>
      </w:r>
    </w:p>
    <w:p w14:paraId="06503F22" w14:textId="59819CF7" w:rsidR="000C33F9" w:rsidRDefault="00577052" w:rsidP="006D3EBC">
      <w:pPr>
        <w:spacing w:before="240" w:after="60" w:line="276" w:lineRule="auto"/>
        <w:ind w:left="720" w:right="543"/>
        <w:jc w:val="both"/>
        <w:rPr>
          <w:rFonts w:ascii="Palatino Linotype" w:eastAsiaTheme="minorEastAsia" w:hAnsi="Palatino Linotype"/>
          <w:sz w:val="20"/>
          <w:szCs w:val="20"/>
          <w:u w:color="000000"/>
          <w:bdr w:val="nil"/>
          <w:lang w:eastAsia="ja-JP"/>
          <w14:textOutline w14:w="0" w14:cap="flat" w14:cmpd="sng" w14:algn="ctr">
            <w14:noFill/>
            <w14:prstDash w14:val="solid"/>
            <w14:bevel/>
          </w14:textOutline>
        </w:rPr>
      </w:pPr>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Despite numerous investigations reported the antibacterial effects of </w:t>
      </w:r>
      <w:r w:rsidR="00AC0AC7" w:rsidRPr="00AC0AC7">
        <w:rPr>
          <w:rFonts w:ascii="Palatino Linotype" w:hAnsi="Palatino Linotype"/>
          <w:sz w:val="20"/>
          <w:szCs w:val="20"/>
        </w:rPr>
        <w:t>Mo</w:t>
      </w:r>
      <w:r w:rsidR="00AC0AC7"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against both primary and secondary colonizers, the antimicrobial impact of Mo leaves ethanolic extract compared to the use of metronidazole and amoxicillin/clavulanic acid against specific key anaerobic bacterium such as </w:t>
      </w:r>
      <w:r w:rsidR="00A94DA8">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r w:rsidRPr="00DC340C">
        <w:rPr>
          <w:rFonts w:ascii="Palatino Linotype" w:eastAsia="Palatino Linotype" w:hAnsi="Palatino Linotype"/>
          <w:i/>
          <w:iCs/>
          <w:sz w:val="20"/>
          <w:szCs w:val="20"/>
          <w:u w:color="000000"/>
          <w:bdr w:val="nil"/>
          <w14:textOutline w14:w="0" w14:cap="flat" w14:cmpd="sng" w14:algn="ctr">
            <w14:noFill/>
            <w14:prstDash w14:val="solid"/>
            <w14:bevel/>
          </w14:textOutline>
        </w:rPr>
        <w:t>P. gingivalis</w:t>
      </w:r>
      <w:r w:rsidRPr="00DC340C">
        <w:rPr>
          <w:rFonts w:ascii="Palatino Linotype" w:eastAsia="Palatino Linotype" w:hAnsi="Palatino Linotype"/>
          <w:sz w:val="20"/>
          <w:szCs w:val="20"/>
          <w:u w:color="000000"/>
          <w:bdr w:val="nil"/>
          <w14:textOutline w14:w="0" w14:cap="flat" w14:cmpd="sng" w14:algn="ctr">
            <w14:noFill/>
            <w14:prstDash w14:val="solid"/>
            <w14:bevel/>
          </w14:textOutline>
        </w:rPr>
        <w:t xml:space="preserve"> has not been well demonstrated. Thus, </w:t>
      </w:r>
      <w:r w:rsidR="000C33F9">
        <w:rPr>
          <w:rFonts w:ascii="Palatino Linotype" w:eastAsiaTheme="minorEastAsia" w:hAnsi="Palatino Linotype" w:hint="eastAsia"/>
          <w:sz w:val="20"/>
          <w:szCs w:val="20"/>
          <w:u w:color="000000"/>
          <w:bdr w:val="nil"/>
          <w:lang w:eastAsia="ja-JP"/>
          <w14:textOutline w14:w="0" w14:cap="flat" w14:cmpd="sng" w14:algn="ctr">
            <w14:noFill/>
            <w14:prstDash w14:val="solid"/>
            <w14:bevel/>
          </w14:textOutline>
        </w:rPr>
        <w:t>w</w:t>
      </w:r>
      <w:r w:rsidR="000C33F9" w:rsidRPr="000C33F9">
        <w:rPr>
          <w:rFonts w:ascii="Palatino Linotype" w:eastAsia="Palatino Linotype" w:hAnsi="Palatino Linotype"/>
          <w:sz w:val="20"/>
          <w:szCs w:val="20"/>
          <w:u w:color="000000"/>
          <w:bdr w:val="nil"/>
          <w14:textOutline w14:w="0" w14:cap="flat" w14:cmpd="sng" w14:algn="ctr">
            <w14:noFill/>
            <w14:prstDash w14:val="solid"/>
            <w14:bevel/>
          </w14:textOutline>
        </w:rPr>
        <w:t xml:space="preserve">e hypothesized that M. oleifera ethanolic extract would demonstrate superior antibacterial activity against </w:t>
      </w:r>
      <w:r w:rsidR="000C33F9" w:rsidRPr="000C33F9">
        <w:rPr>
          <w:rFonts w:ascii="Palatino Linotype" w:eastAsia="Palatino Linotype" w:hAnsi="Palatino Linotype"/>
          <w:i/>
          <w:iCs/>
          <w:sz w:val="20"/>
          <w:szCs w:val="20"/>
          <w:u w:color="000000"/>
          <w:bdr w:val="nil"/>
          <w14:textOutline w14:w="0" w14:cap="flat" w14:cmpd="sng" w14:algn="ctr">
            <w14:noFill/>
            <w14:prstDash w14:val="solid"/>
            <w14:bevel/>
          </w14:textOutline>
        </w:rPr>
        <w:t>P. gingivalis</w:t>
      </w:r>
      <w:r w:rsidR="000C33F9" w:rsidRPr="000C33F9">
        <w:rPr>
          <w:rFonts w:ascii="Palatino Linotype" w:eastAsia="Palatino Linotype" w:hAnsi="Palatino Linotype"/>
          <w:sz w:val="20"/>
          <w:szCs w:val="20"/>
          <w:u w:color="000000"/>
          <w:bdr w:val="nil"/>
          <w14:textOutline w14:w="0" w14:cap="flat" w14:cmpd="sng" w14:algn="ctr">
            <w14:noFill/>
            <w14:prstDash w14:val="solid"/>
            <w14:bevel/>
          </w14:textOutline>
        </w:rPr>
        <w:t xml:space="preserve"> compared to conventional antibiotics</w:t>
      </w:r>
      <w:r w:rsidR="001E653C">
        <w:rPr>
          <w:rFonts w:ascii="Palatino Linotype" w:eastAsiaTheme="minorEastAsia" w:hAnsi="Palatino Linotype" w:hint="eastAsia"/>
          <w:sz w:val="20"/>
          <w:szCs w:val="20"/>
          <w:u w:color="000000"/>
          <w:bdr w:val="nil"/>
          <w:lang w:eastAsia="ja-JP"/>
          <w14:textOutline w14:w="0" w14:cap="flat" w14:cmpd="sng" w14:algn="ctr">
            <w14:noFill/>
            <w14:prstDash w14:val="solid"/>
            <w14:bevel/>
          </w14:textOutline>
        </w:rPr>
        <w:t>.</w:t>
      </w:r>
      <w:r w:rsidR="000C33F9" w:rsidRPr="000C33F9">
        <w:rPr>
          <w:rFonts w:ascii="Palatino Linotype" w:eastAsia="Palatino Linotype" w:hAnsi="Palatino Linotype"/>
          <w:sz w:val="20"/>
          <w:szCs w:val="20"/>
          <w:u w:color="000000"/>
          <w:bdr w:val="nil"/>
          <w14:textOutline w14:w="0" w14:cap="flat" w14:cmpd="sng" w14:algn="ctr">
            <w14:noFill/>
            <w14:prstDash w14:val="solid"/>
            <w14:bevel/>
          </w14:textOutline>
        </w:rPr>
        <w:t xml:space="preserve"> </w:t>
      </w:r>
    </w:p>
    <w:p w14:paraId="5B47F78C" w14:textId="3F38EFB1" w:rsidR="00DD1ABE" w:rsidRPr="00A6703A" w:rsidRDefault="00DD1ABE" w:rsidP="00B272FE">
      <w:pPr>
        <w:spacing w:before="240" w:after="60" w:line="240" w:lineRule="atLeast"/>
        <w:ind w:left="720" w:right="543"/>
        <w:jc w:val="both"/>
        <w:rPr>
          <w:rFonts w:ascii="Palatino Linotype" w:hAnsi="Palatino Linotype"/>
          <w:b/>
          <w:bCs/>
          <w:sz w:val="20"/>
          <w:szCs w:val="20"/>
        </w:rPr>
      </w:pPr>
      <w:r w:rsidRPr="00A6703A">
        <w:rPr>
          <w:rFonts w:ascii="Palatino Linotype" w:hAnsi="Palatino Linotype"/>
          <w:b/>
          <w:bCs/>
          <w:sz w:val="20"/>
          <w:szCs w:val="20"/>
        </w:rPr>
        <w:t>Materials and Method</w:t>
      </w:r>
      <w:r w:rsidR="00916511" w:rsidRPr="00A6703A">
        <w:rPr>
          <w:rFonts w:ascii="Palatino Linotype" w:hAnsi="Palatino Linotype"/>
          <w:b/>
          <w:bCs/>
          <w:sz w:val="20"/>
          <w:szCs w:val="20"/>
        </w:rPr>
        <w:t>s</w:t>
      </w:r>
    </w:p>
    <w:p w14:paraId="5207E7C8" w14:textId="77777777" w:rsidR="00306DBB" w:rsidRDefault="00306DBB" w:rsidP="00B272FE">
      <w:pPr>
        <w:pStyle w:val="MsoFootnoteText0"/>
        <w:spacing w:before="240" w:after="60" w:line="240" w:lineRule="atLeast"/>
        <w:ind w:right="543" w:firstLine="0"/>
        <w:rPr>
          <w:rFonts w:ascii="Palatino Linotype" w:hAnsi="Palatino Linotype"/>
          <w:szCs w:val="20"/>
        </w:rPr>
      </w:pPr>
      <w:bookmarkStart w:id="1" w:name="_Hlk210996271"/>
      <w:r>
        <w:rPr>
          <w:rFonts w:ascii="Palatino Linotype" w:hAnsi="Palatino Linotype"/>
          <w:szCs w:val="20"/>
        </w:rPr>
        <w:t>S</w:t>
      </w:r>
      <w:r w:rsidRPr="00306DBB">
        <w:rPr>
          <w:rFonts w:ascii="Palatino Linotype" w:hAnsi="Palatino Linotype"/>
          <w:szCs w:val="20"/>
        </w:rPr>
        <w:t>tudy design and settings</w:t>
      </w:r>
      <w:bookmarkEnd w:id="1"/>
    </w:p>
    <w:p w14:paraId="552AA819" w14:textId="2E688367" w:rsidR="00577052" w:rsidRPr="00376BE8" w:rsidRDefault="00577052" w:rsidP="006D3EBC">
      <w:pPr>
        <w:pStyle w:val="MsoFootnoteText0"/>
        <w:spacing w:before="240" w:after="60" w:line="276" w:lineRule="auto"/>
        <w:ind w:right="543" w:firstLine="0"/>
        <w:rPr>
          <w:rFonts w:ascii="Palatino Linotype" w:hAnsi="Palatino Linotype"/>
        </w:rPr>
      </w:pPr>
      <w:r w:rsidRPr="00577052">
        <w:rPr>
          <w:rFonts w:ascii="Palatino Linotype" w:hAnsi="Palatino Linotype"/>
        </w:rPr>
        <w:t>This research was conducted under the approval of the ethics committee in the College of Dentistry</w:t>
      </w:r>
      <w:r w:rsidR="00E157A4">
        <w:rPr>
          <w:rFonts w:ascii="Palatino Linotype" w:hAnsi="Palatino Linotype"/>
        </w:rPr>
        <w:t xml:space="preserve">, </w:t>
      </w:r>
      <w:r w:rsidRPr="00577052">
        <w:rPr>
          <w:rFonts w:ascii="Palatino Linotype" w:hAnsi="Palatino Linotype"/>
        </w:rPr>
        <w:t>University of Baghdad (Reference: 256, dated 20/03/2021) (</w:t>
      </w:r>
      <w:r w:rsidR="000A4156">
        <w:rPr>
          <w:rFonts w:ascii="Palatino Linotype" w:hAnsi="Palatino Linotype"/>
        </w:rPr>
        <w:t>Supp</w:t>
      </w:r>
      <w:r w:rsidR="00CC50A7">
        <w:rPr>
          <w:rFonts w:ascii="Palatino Linotype" w:hAnsi="Palatino Linotype"/>
        </w:rPr>
        <w:t xml:space="preserve">lementary </w:t>
      </w:r>
      <w:r w:rsidRPr="00577052">
        <w:rPr>
          <w:rFonts w:ascii="Palatino Linotype" w:hAnsi="Palatino Linotype"/>
        </w:rPr>
        <w:t xml:space="preserve">1). All participants were informed about the study's objectives, </w:t>
      </w:r>
      <w:r w:rsidRPr="00376BE8">
        <w:rPr>
          <w:rFonts w:ascii="Palatino Linotype" w:hAnsi="Palatino Linotype"/>
        </w:rPr>
        <w:t>and their participation was voluntary, requiring the signing of a consent form (</w:t>
      </w:r>
      <w:r w:rsidR="00CC50A7">
        <w:rPr>
          <w:rFonts w:ascii="Palatino Linotype" w:hAnsi="Palatino Linotype"/>
        </w:rPr>
        <w:t>Supplementary</w:t>
      </w:r>
      <w:r w:rsidRPr="00376BE8">
        <w:rPr>
          <w:rFonts w:ascii="Palatino Linotype" w:hAnsi="Palatino Linotype"/>
        </w:rPr>
        <w:t xml:space="preserve"> 2).</w:t>
      </w:r>
    </w:p>
    <w:p w14:paraId="3FE09522" w14:textId="0F197F19" w:rsidR="00306DBB" w:rsidRDefault="00577052" w:rsidP="006D3EBC">
      <w:pPr>
        <w:pStyle w:val="MsoFootnoteText0"/>
        <w:spacing w:after="60" w:line="276" w:lineRule="auto"/>
        <w:ind w:right="543" w:firstLine="0"/>
        <w:rPr>
          <w:rFonts w:ascii="Palatino Linotype" w:hAnsi="Palatino Linotype"/>
        </w:rPr>
      </w:pPr>
      <w:r w:rsidRPr="00376BE8">
        <w:rPr>
          <w:rFonts w:ascii="Palatino Linotype" w:hAnsi="Palatino Linotype"/>
        </w:rPr>
        <w:t>Participants who had used antibiotics and received periodontal treatment in the past 3 months were excluded. Twenty patients diagnosed with stage 3 and 4 periodontitis</w:t>
      </w:r>
      <w:r w:rsidR="005A05D4" w:rsidRPr="00376BE8">
        <w:rPr>
          <w:rFonts w:ascii="Palatino Linotype" w:hAnsi="Palatino Linotype"/>
        </w:rPr>
        <w:t xml:space="preserve"> </w:t>
      </w:r>
      <w:r w:rsidR="005A05D4" w:rsidRPr="00376BE8">
        <w:rPr>
          <w:rFonts w:ascii="Palatino Linotype" w:hAnsi="Palatino Linotype"/>
          <w:vertAlign w:val="superscript"/>
        </w:rPr>
        <w:t>(</w:t>
      </w:r>
      <w:r w:rsidR="00784E86">
        <w:rPr>
          <w:rFonts w:ascii="Palatino Linotype" w:hAnsi="Palatino Linotype"/>
          <w:vertAlign w:val="superscript"/>
        </w:rPr>
        <w:t>1</w:t>
      </w:r>
      <w:r w:rsidR="009B10BE">
        <w:rPr>
          <w:rFonts w:ascii="Palatino Linotype" w:hAnsi="Palatino Linotype"/>
          <w:vertAlign w:val="superscript"/>
        </w:rPr>
        <w:t>2</w:t>
      </w:r>
      <w:r w:rsidR="005A05D4" w:rsidRPr="00376BE8">
        <w:rPr>
          <w:rFonts w:ascii="Palatino Linotype" w:hAnsi="Palatino Linotype"/>
          <w:vertAlign w:val="superscript"/>
        </w:rPr>
        <w:t>)</w:t>
      </w:r>
      <w:r w:rsidR="001042E9" w:rsidRPr="00376BE8">
        <w:rPr>
          <w:rFonts w:ascii="Palatino Linotype" w:hAnsi="Palatino Linotype"/>
        </w:rPr>
        <w:t>,</w:t>
      </w:r>
      <w:r w:rsidRPr="00376BE8">
        <w:rPr>
          <w:rFonts w:ascii="Palatino Linotype" w:hAnsi="Palatino Linotype"/>
        </w:rPr>
        <w:t xml:space="preserve"> </w:t>
      </w:r>
      <w:r w:rsidR="001042E9" w:rsidRPr="00376BE8">
        <w:rPr>
          <w:rFonts w:ascii="Palatino Linotype" w:hAnsi="Palatino Linotype"/>
        </w:rPr>
        <w:t xml:space="preserve">with </w:t>
      </w:r>
      <w:r w:rsidRPr="00376BE8">
        <w:rPr>
          <w:rFonts w:ascii="Palatino Linotype" w:hAnsi="Palatino Linotype"/>
        </w:rPr>
        <w:t>clinical attachment loss &gt; 5 mm and probing depth &gt;6 mm</w:t>
      </w:r>
      <w:r w:rsidR="004942AD" w:rsidRPr="00376BE8">
        <w:rPr>
          <w:rFonts w:ascii="Palatino Linotype" w:hAnsi="Palatino Linotype"/>
        </w:rPr>
        <w:t xml:space="preserve">, and </w:t>
      </w:r>
      <w:r w:rsidR="00CE4FA2" w:rsidRPr="00376BE8">
        <w:rPr>
          <w:rFonts w:ascii="Palatino Linotype" w:hAnsi="Palatino Linotype"/>
        </w:rPr>
        <w:t>willing</w:t>
      </w:r>
      <w:r w:rsidR="004942AD" w:rsidRPr="00376BE8">
        <w:rPr>
          <w:rFonts w:ascii="Palatino Linotype" w:hAnsi="Palatino Linotype"/>
        </w:rPr>
        <w:t xml:space="preserve"> to participate in the study</w:t>
      </w:r>
      <w:r w:rsidRPr="00376BE8">
        <w:rPr>
          <w:rFonts w:ascii="Palatino Linotype" w:hAnsi="Palatino Linotype"/>
        </w:rPr>
        <w:t xml:space="preserve"> were </w:t>
      </w:r>
      <w:r w:rsidR="004942AD" w:rsidRPr="00376BE8">
        <w:rPr>
          <w:rFonts w:ascii="Palatino Linotype" w:hAnsi="Palatino Linotype"/>
        </w:rPr>
        <w:t>included</w:t>
      </w:r>
      <w:r w:rsidRPr="00376BE8">
        <w:rPr>
          <w:rFonts w:ascii="Palatino Linotype" w:hAnsi="Palatino Linotype"/>
        </w:rPr>
        <w:t xml:space="preserve"> for the collection of subgingival plaque samples for clinical isolation of </w:t>
      </w:r>
      <w:r w:rsidRPr="00376BE8">
        <w:rPr>
          <w:rFonts w:ascii="Palatino Linotype" w:hAnsi="Palatino Linotype"/>
          <w:i/>
          <w:iCs/>
        </w:rPr>
        <w:t>P. gingivalis</w:t>
      </w:r>
      <w:r w:rsidRPr="00376BE8">
        <w:rPr>
          <w:rFonts w:ascii="Palatino Linotype" w:hAnsi="Palatino Linotype"/>
        </w:rPr>
        <w:t>.</w:t>
      </w:r>
      <w:r w:rsidRPr="00577052">
        <w:rPr>
          <w:rFonts w:ascii="Palatino Linotype" w:hAnsi="Palatino Linotype"/>
        </w:rPr>
        <w:t xml:space="preserve"> </w:t>
      </w:r>
    </w:p>
    <w:p w14:paraId="7BFC2923" w14:textId="3B70B661" w:rsidR="00306DBB" w:rsidRPr="001055CD" w:rsidRDefault="00306DBB" w:rsidP="00B272FE">
      <w:pPr>
        <w:pStyle w:val="MsoFootnoteText0"/>
        <w:spacing w:before="240" w:after="60" w:line="240" w:lineRule="atLeast"/>
        <w:ind w:right="543" w:firstLine="0"/>
        <w:rPr>
          <w:rFonts w:ascii="Palatino Linotype" w:hAnsi="Palatino Linotype"/>
          <w:color w:val="auto"/>
          <w:szCs w:val="20"/>
        </w:rPr>
      </w:pPr>
      <w:r w:rsidRPr="001055CD">
        <w:rPr>
          <w:rFonts w:ascii="Palatino Linotype" w:hAnsi="Palatino Linotype"/>
          <w:color w:val="auto"/>
          <w:szCs w:val="20"/>
        </w:rPr>
        <w:t>Subgingival biofilm sampling</w:t>
      </w:r>
    </w:p>
    <w:p w14:paraId="7F842814" w14:textId="5718EA92" w:rsidR="009734B5" w:rsidRDefault="00577052" w:rsidP="006D3EBC">
      <w:pPr>
        <w:pStyle w:val="MsoFootnoteText0"/>
        <w:spacing w:before="240" w:after="60" w:line="276" w:lineRule="auto"/>
        <w:ind w:right="543" w:firstLine="0"/>
        <w:rPr>
          <w:rFonts w:ascii="Palatino Linotype" w:hAnsi="Palatino Linotype"/>
        </w:rPr>
      </w:pPr>
      <w:r w:rsidRPr="00577052">
        <w:rPr>
          <w:rFonts w:ascii="Palatino Linotype" w:hAnsi="Palatino Linotype"/>
        </w:rPr>
        <w:t xml:space="preserve">The sampling procedure was conducted following supragingival biofilm removal </w:t>
      </w:r>
      <w:r w:rsidR="00657CEA">
        <w:rPr>
          <w:rFonts w:ascii="Palatino Linotype" w:hAnsi="Palatino Linotype"/>
        </w:rPr>
        <w:t>using</w:t>
      </w:r>
      <w:r w:rsidRPr="00577052">
        <w:rPr>
          <w:rFonts w:ascii="Palatino Linotype" w:hAnsi="Palatino Linotype"/>
        </w:rPr>
        <w:t xml:space="preserve"> wiping </w:t>
      </w:r>
      <w:r w:rsidR="00001726">
        <w:rPr>
          <w:rFonts w:ascii="Palatino Linotype" w:hAnsi="Palatino Linotype"/>
        </w:rPr>
        <w:t xml:space="preserve">with cotton wool pledgets </w:t>
      </w:r>
      <w:r w:rsidRPr="00577052">
        <w:rPr>
          <w:rFonts w:ascii="Palatino Linotype" w:hAnsi="Palatino Linotype"/>
        </w:rPr>
        <w:t xml:space="preserve">to have </w:t>
      </w:r>
      <w:r w:rsidRPr="00376BE8">
        <w:rPr>
          <w:rFonts w:ascii="Palatino Linotype" w:hAnsi="Palatino Linotype"/>
        </w:rPr>
        <w:t xml:space="preserve">access to the subgingival area for pocket measurement and subgingival plaque sampling. The subgingival pockets of the buccal surfaces of the molar </w:t>
      </w:r>
      <w:r w:rsidR="00A47D80" w:rsidRPr="00376BE8">
        <w:rPr>
          <w:rFonts w:ascii="Palatino Linotype" w:hAnsi="Palatino Linotype"/>
        </w:rPr>
        <w:t xml:space="preserve">teeth </w:t>
      </w:r>
      <w:r w:rsidRPr="00376BE8">
        <w:rPr>
          <w:rFonts w:ascii="Palatino Linotype" w:hAnsi="Palatino Linotype"/>
        </w:rPr>
        <w:t xml:space="preserve">with depths exceeding 6 mm were sampled following isolation using cotton rolls. The </w:t>
      </w:r>
      <w:r w:rsidR="00001726" w:rsidRPr="00376BE8">
        <w:rPr>
          <w:rFonts w:ascii="Palatino Linotype" w:hAnsi="Palatino Linotype"/>
        </w:rPr>
        <w:t>identified</w:t>
      </w:r>
      <w:r w:rsidRPr="00376BE8">
        <w:rPr>
          <w:rFonts w:ascii="Palatino Linotype" w:hAnsi="Palatino Linotype"/>
        </w:rPr>
        <w:t xml:space="preserve"> periodontal pocket </w:t>
      </w:r>
      <w:r w:rsidR="00732EA1" w:rsidRPr="00376BE8">
        <w:rPr>
          <w:rFonts w:ascii="Palatino Linotype" w:hAnsi="Palatino Linotype"/>
        </w:rPr>
        <w:t xml:space="preserve">was </w:t>
      </w:r>
      <w:r w:rsidRPr="00376BE8">
        <w:rPr>
          <w:rFonts w:ascii="Palatino Linotype" w:hAnsi="Palatino Linotype"/>
        </w:rPr>
        <w:t>then sampled using sterile paper point (F2 Dia-ProTTM), which was inserted</w:t>
      </w:r>
      <w:r w:rsidRPr="00577052">
        <w:rPr>
          <w:rFonts w:ascii="Palatino Linotype" w:hAnsi="Palatino Linotype"/>
        </w:rPr>
        <w:t xml:space="preserve"> till resistance was felt and maintained for 60 seconds</w:t>
      </w:r>
      <w:r w:rsidR="00E92474">
        <w:rPr>
          <w:rFonts w:ascii="Palatino Linotype" w:hAnsi="Palatino Linotype"/>
        </w:rPr>
        <w:t xml:space="preserve"> </w:t>
      </w:r>
      <w:r w:rsidRPr="003F0587">
        <w:rPr>
          <w:rFonts w:ascii="Palatino Linotype" w:hAnsi="Palatino Linotype"/>
          <w:vertAlign w:val="superscript"/>
        </w:rPr>
        <w:t>(</w:t>
      </w:r>
      <w:r w:rsidR="00784E86">
        <w:rPr>
          <w:rFonts w:ascii="Palatino Linotype" w:hAnsi="Palatino Linotype"/>
          <w:vertAlign w:val="superscript"/>
        </w:rPr>
        <w:t>1</w:t>
      </w:r>
      <w:r w:rsidR="009B10BE">
        <w:rPr>
          <w:rFonts w:ascii="Palatino Linotype" w:hAnsi="Palatino Linotype"/>
          <w:vertAlign w:val="superscript"/>
        </w:rPr>
        <w:t>3</w:t>
      </w:r>
      <w:r w:rsidRPr="003F0587">
        <w:rPr>
          <w:rFonts w:ascii="Palatino Linotype" w:hAnsi="Palatino Linotype"/>
          <w:vertAlign w:val="superscript"/>
        </w:rPr>
        <w:t>)</w:t>
      </w:r>
      <w:r w:rsidRPr="00577052">
        <w:rPr>
          <w:rFonts w:ascii="Palatino Linotype" w:hAnsi="Palatino Linotype"/>
        </w:rPr>
        <w:t xml:space="preserve">. The paper point was gently withdrawn and promptly </w:t>
      </w:r>
      <w:r w:rsidR="002A5FF8">
        <w:rPr>
          <w:rFonts w:ascii="Palatino Linotype" w:hAnsi="Palatino Linotype"/>
        </w:rPr>
        <w:t>inoculated onto</w:t>
      </w:r>
      <w:r w:rsidRPr="00577052">
        <w:rPr>
          <w:rFonts w:ascii="Palatino Linotype" w:hAnsi="Palatino Linotype"/>
        </w:rPr>
        <w:t xml:space="preserve"> </w:t>
      </w:r>
      <w:r w:rsidR="004905FA">
        <w:rPr>
          <w:rFonts w:ascii="Palatino Linotype" w:hAnsi="Palatino Linotype"/>
        </w:rPr>
        <w:t xml:space="preserve">          </w:t>
      </w:r>
      <w:r w:rsidRPr="00EF6F8A">
        <w:rPr>
          <w:rFonts w:ascii="Palatino Linotype" w:hAnsi="Palatino Linotype"/>
          <w:i/>
          <w:iCs/>
        </w:rPr>
        <w:t>P</w:t>
      </w:r>
      <w:r w:rsidR="00EF6F8A">
        <w:rPr>
          <w:rFonts w:ascii="Palatino Linotype" w:hAnsi="Palatino Linotype"/>
          <w:i/>
          <w:iCs/>
        </w:rPr>
        <w:t>.</w:t>
      </w:r>
      <w:r w:rsidRPr="00EF6F8A">
        <w:rPr>
          <w:rFonts w:ascii="Palatino Linotype" w:hAnsi="Palatino Linotype"/>
          <w:i/>
          <w:iCs/>
        </w:rPr>
        <w:t xml:space="preserve"> gingivalis</w:t>
      </w:r>
      <w:r w:rsidRPr="00577052">
        <w:rPr>
          <w:rFonts w:ascii="Palatino Linotype" w:hAnsi="Palatino Linotype"/>
        </w:rPr>
        <w:t xml:space="preserve"> agar (ANAEROBE SYSTEMS, USA). The inoculated plates were incubated for 4-6 days at 36.5</w:t>
      </w:r>
      <w:r w:rsidR="00C40193">
        <w:rPr>
          <w:rFonts w:ascii="Palatino Linotype" w:hAnsi="Palatino Linotype"/>
        </w:rPr>
        <w:t xml:space="preserve"> </w:t>
      </w:r>
      <w:r w:rsidRPr="00577052">
        <w:rPr>
          <w:rFonts w:ascii="Palatino Linotype" w:hAnsi="Palatino Linotype"/>
        </w:rPr>
        <w:t xml:space="preserve">C in an anaerobic </w:t>
      </w:r>
      <w:r w:rsidR="009F361A">
        <w:rPr>
          <w:rFonts w:ascii="Palatino Linotype" w:hAnsi="Palatino Linotype"/>
        </w:rPr>
        <w:t>environment</w:t>
      </w:r>
      <w:r w:rsidRPr="00577052">
        <w:rPr>
          <w:rFonts w:ascii="Palatino Linotype" w:hAnsi="Palatino Linotype"/>
        </w:rPr>
        <w:t xml:space="preserve"> (Thermo Scientific) in an anaerobic jar (Oxoid™ AnaeroJar).</w:t>
      </w:r>
    </w:p>
    <w:p w14:paraId="18A9A1C3" w14:textId="4F2F2C70" w:rsidR="00577052" w:rsidRDefault="00577052" w:rsidP="00B272FE">
      <w:pPr>
        <w:pStyle w:val="MsoFootnoteText0"/>
        <w:spacing w:before="240" w:after="60" w:line="240" w:lineRule="atLeast"/>
        <w:ind w:right="543" w:firstLine="0"/>
        <w:rPr>
          <w:rFonts w:ascii="Palatino Linotype" w:hAnsi="Palatino Linotype"/>
        </w:rPr>
      </w:pPr>
      <w:bookmarkStart w:id="2" w:name="_Hlk210996296"/>
      <w:r w:rsidRPr="003F0587">
        <w:rPr>
          <w:rFonts w:ascii="Palatino Linotype" w:hAnsi="Palatino Linotype"/>
          <w:i/>
          <w:iCs/>
        </w:rPr>
        <w:t>P</w:t>
      </w:r>
      <w:r w:rsidR="00306DBB">
        <w:rPr>
          <w:rFonts w:ascii="Palatino Linotype" w:hAnsi="Palatino Linotype"/>
          <w:i/>
          <w:iCs/>
        </w:rPr>
        <w:t xml:space="preserve">orphyromonas </w:t>
      </w:r>
      <w:r w:rsidRPr="003F0587">
        <w:rPr>
          <w:rFonts w:ascii="Palatino Linotype" w:hAnsi="Palatino Linotype"/>
          <w:i/>
          <w:iCs/>
        </w:rPr>
        <w:t>gingivalis</w:t>
      </w:r>
      <w:r w:rsidRPr="00577052">
        <w:rPr>
          <w:rFonts w:ascii="Palatino Linotype" w:hAnsi="Palatino Linotype"/>
        </w:rPr>
        <w:t xml:space="preserve"> clinical isolates verification</w:t>
      </w:r>
    </w:p>
    <w:bookmarkEnd w:id="2"/>
    <w:p w14:paraId="3BDAC90F" w14:textId="405907BB" w:rsidR="00577052" w:rsidRPr="00577052" w:rsidRDefault="00577052" w:rsidP="006D3EBC">
      <w:pPr>
        <w:pStyle w:val="MsoFootnoteText0"/>
        <w:spacing w:before="240" w:after="60" w:line="276" w:lineRule="auto"/>
        <w:ind w:right="543" w:firstLine="0"/>
        <w:rPr>
          <w:rFonts w:ascii="Palatino Linotype" w:hAnsi="Palatino Linotype"/>
        </w:rPr>
      </w:pPr>
      <w:r w:rsidRPr="00577052">
        <w:rPr>
          <w:rFonts w:ascii="Palatino Linotype" w:hAnsi="Palatino Linotype"/>
        </w:rPr>
        <w:t xml:space="preserve">After conducting several sub-culturing of </w:t>
      </w:r>
      <w:r w:rsidRPr="003F0587">
        <w:rPr>
          <w:rFonts w:ascii="Palatino Linotype" w:hAnsi="Palatino Linotype"/>
          <w:i/>
          <w:iCs/>
        </w:rPr>
        <w:t>P. gingivalis</w:t>
      </w:r>
      <w:r w:rsidRPr="00577052">
        <w:rPr>
          <w:rFonts w:ascii="Palatino Linotype" w:hAnsi="Palatino Linotype"/>
        </w:rPr>
        <w:t xml:space="preserve"> isolates on the agar plates, validation was confirmed by </w:t>
      </w:r>
      <w:r w:rsidR="003A6EE9">
        <w:rPr>
          <w:rFonts w:ascii="Palatino Linotype" w:hAnsi="Palatino Linotype"/>
        </w:rPr>
        <w:t>colony morphology i.e. black pigmented colonies</w:t>
      </w:r>
      <w:r w:rsidR="00072ACC">
        <w:rPr>
          <w:rFonts w:ascii="Palatino Linotype" w:hAnsi="Palatino Linotype"/>
        </w:rPr>
        <w:t>, G</w:t>
      </w:r>
      <w:r w:rsidRPr="00577052">
        <w:rPr>
          <w:rFonts w:ascii="Palatino Linotype" w:hAnsi="Palatino Linotype"/>
        </w:rPr>
        <w:t xml:space="preserve">ram-staining, morphological identification by microscopic examination, and DNA analysis using polymerase chain reaction (PCR). </w:t>
      </w:r>
    </w:p>
    <w:p w14:paraId="536016A5" w14:textId="69D4CE25" w:rsidR="00577052" w:rsidRPr="00577052" w:rsidRDefault="00577052" w:rsidP="006D3EBC">
      <w:pPr>
        <w:pStyle w:val="MsoFootnoteText0"/>
        <w:spacing w:before="240" w:after="60" w:line="276" w:lineRule="auto"/>
        <w:ind w:right="543" w:firstLine="0"/>
        <w:rPr>
          <w:rFonts w:ascii="Palatino Linotype" w:hAnsi="Palatino Linotype"/>
        </w:rPr>
      </w:pPr>
      <w:r w:rsidRPr="00577052">
        <w:rPr>
          <w:rFonts w:ascii="Palatino Linotype" w:hAnsi="Palatino Linotype"/>
        </w:rPr>
        <w:t xml:space="preserve">DNA Isolation: An Eppendorf tube having 50 μl of disinfected hyper deionized-distilled water (DDW) was mixed with </w:t>
      </w:r>
      <w:r w:rsidR="006D1984">
        <w:rPr>
          <w:rFonts w:ascii="Palatino Linotype" w:hAnsi="Palatino Linotype"/>
        </w:rPr>
        <w:t xml:space="preserve">an appropriate and </w:t>
      </w:r>
      <w:r w:rsidRPr="00577052">
        <w:rPr>
          <w:rFonts w:ascii="Palatino Linotype" w:hAnsi="Palatino Linotype"/>
        </w:rPr>
        <w:t>confirmed colony of each sample, homogenized using vortex mixer, incubated</w:t>
      </w:r>
      <w:r w:rsidR="006361E8">
        <w:rPr>
          <w:rFonts w:ascii="Palatino Linotype" w:hAnsi="Palatino Linotype"/>
        </w:rPr>
        <w:t xml:space="preserve"> </w:t>
      </w:r>
      <w:r w:rsidR="006361E8" w:rsidRPr="00577052">
        <w:rPr>
          <w:rFonts w:ascii="Palatino Linotype" w:hAnsi="Palatino Linotype"/>
        </w:rPr>
        <w:t>in a heat block</w:t>
      </w:r>
      <w:r w:rsidRPr="00577052">
        <w:rPr>
          <w:rFonts w:ascii="Palatino Linotype" w:hAnsi="Palatino Linotype"/>
        </w:rPr>
        <w:t xml:space="preserve"> for 10 minutes at 96</w:t>
      </w:r>
      <w:r w:rsidR="00C40193">
        <w:rPr>
          <w:rFonts w:ascii="Palatino Linotype" w:hAnsi="Palatino Linotype"/>
        </w:rPr>
        <w:t xml:space="preserve"> </w:t>
      </w:r>
      <w:r w:rsidRPr="00577052">
        <w:rPr>
          <w:rFonts w:ascii="Palatino Linotype" w:hAnsi="Palatino Linotype"/>
        </w:rPr>
        <w:t>C (Thermo Fisher Scientific), and centrifuged for 5 minutes at 1000 rpm. The DNA template was collected as a precipitate following discarding the supernatant layer</w:t>
      </w:r>
      <w:r w:rsidR="00E92474">
        <w:rPr>
          <w:rFonts w:ascii="Palatino Linotype" w:hAnsi="Palatino Linotype"/>
        </w:rPr>
        <w:t xml:space="preserve"> </w:t>
      </w:r>
      <w:r w:rsidRPr="003F0587">
        <w:rPr>
          <w:rFonts w:ascii="Palatino Linotype" w:hAnsi="Palatino Linotype"/>
          <w:vertAlign w:val="superscript"/>
        </w:rPr>
        <w:t>(</w:t>
      </w:r>
      <w:r w:rsidR="009F482C">
        <w:rPr>
          <w:rFonts w:ascii="Palatino Linotype" w:hAnsi="Palatino Linotype"/>
          <w:vertAlign w:val="superscript"/>
        </w:rPr>
        <w:t>1</w:t>
      </w:r>
      <w:r w:rsidR="00862D4B">
        <w:rPr>
          <w:rFonts w:ascii="Palatino Linotype" w:hAnsi="Palatino Linotype"/>
          <w:vertAlign w:val="superscript"/>
        </w:rPr>
        <w:t>4</w:t>
      </w:r>
      <w:r w:rsidRPr="003F0587">
        <w:rPr>
          <w:rFonts w:ascii="Palatino Linotype" w:hAnsi="Palatino Linotype"/>
          <w:vertAlign w:val="superscript"/>
        </w:rPr>
        <w:t>)</w:t>
      </w:r>
      <w:r w:rsidRPr="00577052">
        <w:rPr>
          <w:rFonts w:ascii="Palatino Linotype" w:hAnsi="Palatino Linotype"/>
        </w:rPr>
        <w:t>.</w:t>
      </w:r>
    </w:p>
    <w:p w14:paraId="56E7B723" w14:textId="4D9A80F5" w:rsidR="00CC3469" w:rsidRPr="00FE7BF6" w:rsidRDefault="00577052" w:rsidP="006D3EBC">
      <w:pPr>
        <w:pStyle w:val="MsoFootnoteText0"/>
        <w:spacing w:before="240" w:after="60" w:line="276" w:lineRule="auto"/>
        <w:ind w:right="543" w:firstLine="0"/>
        <w:rPr>
          <w:rFonts w:ascii="Palatino Linotype" w:hAnsi="Palatino Linotype"/>
        </w:rPr>
      </w:pPr>
      <w:r w:rsidRPr="00577052">
        <w:rPr>
          <w:rFonts w:ascii="Palatino Linotype" w:hAnsi="Palatino Linotype"/>
        </w:rPr>
        <w:lastRenderedPageBreak/>
        <w:t xml:space="preserve">PCR Analysis: A 16S rRNA gene of </w:t>
      </w:r>
      <w:r w:rsidRPr="003F0587">
        <w:rPr>
          <w:rFonts w:ascii="Palatino Linotype" w:hAnsi="Palatino Linotype"/>
          <w:i/>
          <w:iCs/>
        </w:rPr>
        <w:t>P. gingivalis</w:t>
      </w:r>
      <w:r w:rsidRPr="00577052">
        <w:rPr>
          <w:rFonts w:ascii="Palatino Linotype" w:hAnsi="Palatino Linotype"/>
        </w:rPr>
        <w:t xml:space="preserve"> was analyzed using </w:t>
      </w:r>
      <w:r w:rsidRPr="003F0587">
        <w:rPr>
          <w:rFonts w:ascii="Palatino Linotype" w:hAnsi="Palatino Linotype"/>
          <w:i/>
          <w:iCs/>
        </w:rPr>
        <w:t>P. gingivalis</w:t>
      </w:r>
      <w:r w:rsidRPr="00577052">
        <w:rPr>
          <w:rFonts w:ascii="Palatino Linotype" w:hAnsi="Palatino Linotype"/>
        </w:rPr>
        <w:t>-specific primers by conventional PCR</w:t>
      </w:r>
      <w:r w:rsidR="00E92474">
        <w:rPr>
          <w:rFonts w:ascii="Palatino Linotype" w:hAnsi="Palatino Linotype"/>
        </w:rPr>
        <w:t xml:space="preserve"> </w:t>
      </w:r>
      <w:r w:rsidRPr="003F0587">
        <w:rPr>
          <w:rFonts w:ascii="Palatino Linotype" w:hAnsi="Palatino Linotype"/>
          <w:vertAlign w:val="superscript"/>
        </w:rPr>
        <w:t>(</w:t>
      </w:r>
      <w:r w:rsidR="009F482C">
        <w:rPr>
          <w:rFonts w:ascii="Palatino Linotype" w:hAnsi="Palatino Linotype"/>
          <w:vertAlign w:val="superscript"/>
        </w:rPr>
        <w:t>1</w:t>
      </w:r>
      <w:r w:rsidR="00862D4B">
        <w:rPr>
          <w:rFonts w:ascii="Palatino Linotype" w:hAnsi="Palatino Linotype"/>
          <w:vertAlign w:val="superscript"/>
        </w:rPr>
        <w:t>5</w:t>
      </w:r>
      <w:r w:rsidRPr="003F0587">
        <w:rPr>
          <w:rFonts w:ascii="Palatino Linotype" w:hAnsi="Palatino Linotype"/>
          <w:vertAlign w:val="superscript"/>
        </w:rPr>
        <w:t>)</w:t>
      </w:r>
      <w:r w:rsidRPr="00577052">
        <w:rPr>
          <w:rFonts w:ascii="Palatino Linotype" w:hAnsi="Palatino Linotype"/>
        </w:rPr>
        <w:t>. The primer sequences were as follows: Forward primer 5´-AGTCAGCTTGCCATACTGGC-3´ and reverse primer 5´-ACCGTTAGCAACTACCGATTG-3´. The amplification process was conducted in triplicate using the VeritiTM 96 well Thermocycler PCR. The final volume of 20 µl of reaction mixture was prepared, comprising: 1 µl of DDW, 2 µl (10 pmol/</w:t>
      </w:r>
      <w:r w:rsidR="00C40193">
        <w:rPr>
          <w:rFonts w:ascii="Palatino Linotype" w:hAnsi="Palatino Linotype"/>
        </w:rPr>
        <w:t>L</w:t>
      </w:r>
      <w:r w:rsidRPr="00577052">
        <w:rPr>
          <w:rFonts w:ascii="Palatino Linotype" w:hAnsi="Palatino Linotype"/>
        </w:rPr>
        <w:t xml:space="preserve">)/each </w:t>
      </w:r>
      <w:r w:rsidR="00A94DA8">
        <w:rPr>
          <w:rFonts w:ascii="Palatino Linotype" w:hAnsi="Palatino Linotype"/>
        </w:rPr>
        <w:t xml:space="preserve">               </w:t>
      </w:r>
      <w:r w:rsidRPr="003F0587">
        <w:rPr>
          <w:rFonts w:ascii="Palatino Linotype" w:hAnsi="Palatino Linotype"/>
          <w:i/>
          <w:iCs/>
        </w:rPr>
        <w:t>P. gingivalis</w:t>
      </w:r>
      <w:r w:rsidRPr="00577052">
        <w:rPr>
          <w:rFonts w:ascii="Palatino Linotype" w:hAnsi="Palatino Linotype"/>
        </w:rPr>
        <w:t xml:space="preserve"> primer, 5 µl of DNA template, 10 µl of 2X Prime Taq Premix (GeNet BioG-2000). The PCR cycleis illustrated as follows: an initial denaturation at 96</w:t>
      </w:r>
      <w:r w:rsidR="00C40193">
        <w:rPr>
          <w:rFonts w:ascii="Palatino Linotype" w:hAnsi="Palatino Linotype"/>
        </w:rPr>
        <w:t xml:space="preserve"> </w:t>
      </w:r>
      <w:r w:rsidRPr="00577052">
        <w:rPr>
          <w:rFonts w:ascii="Palatino Linotype" w:hAnsi="Palatino Linotype"/>
        </w:rPr>
        <w:t>C for 5 minutes; amplification sequences as DNA denaturation at 95</w:t>
      </w:r>
      <w:r w:rsidR="00C40193">
        <w:rPr>
          <w:rFonts w:ascii="Palatino Linotype" w:hAnsi="Palatino Linotype"/>
        </w:rPr>
        <w:t xml:space="preserve"> </w:t>
      </w:r>
      <w:r w:rsidRPr="00577052">
        <w:rPr>
          <w:rFonts w:ascii="Palatino Linotype" w:hAnsi="Palatino Linotype"/>
        </w:rPr>
        <w:t>C for 30 seconds, annealing at 61</w:t>
      </w:r>
      <w:r w:rsidR="00C40193">
        <w:rPr>
          <w:rFonts w:ascii="Palatino Linotype" w:hAnsi="Palatino Linotype"/>
        </w:rPr>
        <w:t xml:space="preserve"> </w:t>
      </w:r>
      <w:r w:rsidRPr="00577052">
        <w:rPr>
          <w:rFonts w:ascii="Palatino Linotype" w:hAnsi="Palatino Linotype"/>
        </w:rPr>
        <w:t>C for 30 seconds, extension at 71</w:t>
      </w:r>
      <w:r w:rsidR="00C40193">
        <w:rPr>
          <w:rFonts w:ascii="Palatino Linotype" w:hAnsi="Palatino Linotype"/>
        </w:rPr>
        <w:t xml:space="preserve"> </w:t>
      </w:r>
      <w:r w:rsidRPr="00577052">
        <w:rPr>
          <w:rFonts w:ascii="Palatino Linotype" w:hAnsi="Palatino Linotype"/>
        </w:rPr>
        <w:t>C for 30 seconds; and final extension at 71°C for 5 minutes. The PCR product was subsequently subjected to analysis via 2% agarose-gel electrophoresis, running for 36 minutes at 81 V. For gel staining, 3 µl of ethidium bromide was applied. To mark the molecular mass, a 100</w:t>
      </w:r>
      <w:r w:rsidR="00C40193">
        <w:rPr>
          <w:rFonts w:ascii="Palatino Linotype" w:hAnsi="Palatino Linotype"/>
        </w:rPr>
        <w:t xml:space="preserve"> </w:t>
      </w:r>
      <w:r w:rsidRPr="00577052">
        <w:rPr>
          <w:rFonts w:ascii="Palatino Linotype" w:hAnsi="Palatino Linotype"/>
        </w:rPr>
        <w:t>bp + DNA ladder was applied. Purification of the bands present on the gel was carried out using the genomic JETTM Gel extraction kit (Fermentas, UK)</w:t>
      </w:r>
      <w:r w:rsidRPr="006042A3">
        <w:rPr>
          <w:rFonts w:ascii="Palatino Linotype" w:hAnsi="Palatino Linotype"/>
        </w:rPr>
        <w:t>.</w:t>
      </w:r>
      <w:r w:rsidRPr="00577052">
        <w:rPr>
          <w:rFonts w:ascii="Palatino Linotype" w:hAnsi="Palatino Linotype"/>
        </w:rPr>
        <w:t xml:space="preserve"> Ultimately, the standard PCR </w:t>
      </w:r>
      <w:r w:rsidR="006361E8">
        <w:rPr>
          <w:rFonts w:ascii="Palatino Linotype" w:hAnsi="Palatino Linotype"/>
        </w:rPr>
        <w:t>template</w:t>
      </w:r>
      <w:r w:rsidRPr="00577052">
        <w:rPr>
          <w:rFonts w:ascii="Palatino Linotype" w:hAnsi="Palatino Linotype"/>
        </w:rPr>
        <w:t xml:space="preserve"> was </w:t>
      </w:r>
      <w:r w:rsidR="006361E8">
        <w:rPr>
          <w:rFonts w:ascii="Palatino Linotype" w:hAnsi="Palatino Linotype"/>
        </w:rPr>
        <w:t>sequenced</w:t>
      </w:r>
      <w:r w:rsidRPr="00577052">
        <w:rPr>
          <w:rFonts w:ascii="Palatino Linotype" w:hAnsi="Palatino Linotype"/>
        </w:rPr>
        <w:t xml:space="preserve"> at Macrogen in South Korea</w:t>
      </w:r>
      <w:r w:rsidR="00CC3469" w:rsidRPr="00FE7BF6">
        <w:rPr>
          <w:rFonts w:ascii="Palatino Linotype" w:hAnsi="Palatino Linotype"/>
        </w:rPr>
        <w:t xml:space="preserve"> </w:t>
      </w:r>
    </w:p>
    <w:p w14:paraId="26F2E6E0" w14:textId="53ED97C2" w:rsidR="00495D17" w:rsidRDefault="00495D17" w:rsidP="006D3EBC">
      <w:pPr>
        <w:pStyle w:val="MsoFootnoteText0"/>
        <w:spacing w:before="240" w:after="60" w:line="276" w:lineRule="auto"/>
        <w:ind w:right="543" w:firstLine="0"/>
        <w:rPr>
          <w:rFonts w:ascii="Palatino Linotype" w:hAnsi="Palatino Linotype"/>
        </w:rPr>
      </w:pPr>
      <w:bookmarkStart w:id="3" w:name="_Hlk210996314"/>
      <w:r w:rsidRPr="003F0587">
        <w:rPr>
          <w:rFonts w:ascii="Palatino Linotype" w:hAnsi="Palatino Linotype"/>
          <w:i/>
          <w:iCs/>
        </w:rPr>
        <w:t>Moringa oleifera L</w:t>
      </w:r>
      <w:r w:rsidR="003F0587" w:rsidRPr="003F0587">
        <w:rPr>
          <w:rFonts w:ascii="Palatino Linotype" w:hAnsi="Palatino Linotype"/>
          <w:i/>
          <w:iCs/>
        </w:rPr>
        <w:t>.</w:t>
      </w:r>
      <w:r w:rsidRPr="00495D17">
        <w:rPr>
          <w:rFonts w:ascii="Palatino Linotype" w:hAnsi="Palatino Linotype"/>
        </w:rPr>
        <w:t xml:space="preserve"> Extraction</w:t>
      </w:r>
    </w:p>
    <w:bookmarkEnd w:id="3"/>
    <w:p w14:paraId="1B65A3BF" w14:textId="6EFE801E" w:rsidR="00495D17" w:rsidRDefault="00495D17" w:rsidP="006D3EBC">
      <w:pPr>
        <w:pStyle w:val="MsoFootnoteText0"/>
        <w:spacing w:before="240" w:after="60" w:line="276" w:lineRule="auto"/>
        <w:ind w:right="543" w:firstLine="0"/>
        <w:rPr>
          <w:rFonts w:ascii="Palatino Linotype" w:eastAsiaTheme="minorEastAsia" w:hAnsi="Palatino Linotype"/>
          <w:lang w:eastAsia="ja-JP"/>
        </w:rPr>
      </w:pPr>
      <w:r w:rsidRPr="00495D17">
        <w:rPr>
          <w:rFonts w:ascii="Palatino Linotype" w:hAnsi="Palatino Linotype"/>
        </w:rPr>
        <w:t xml:space="preserve">Ethanolic extracts </w:t>
      </w:r>
      <w:r w:rsidRPr="00AC0AC7">
        <w:rPr>
          <w:rFonts w:ascii="Palatino Linotype" w:hAnsi="Palatino Linotype"/>
          <w:szCs w:val="20"/>
        </w:rPr>
        <w:t xml:space="preserve">of </w:t>
      </w:r>
      <w:r w:rsidR="00AC0AC7" w:rsidRPr="00AC0AC7">
        <w:rPr>
          <w:rFonts w:ascii="Palatino Linotype" w:hAnsi="Palatino Linotype"/>
          <w:szCs w:val="20"/>
        </w:rPr>
        <w:t xml:space="preserve">Mo </w:t>
      </w:r>
      <w:r w:rsidRPr="00AC0AC7">
        <w:rPr>
          <w:rFonts w:ascii="Palatino Linotype" w:hAnsi="Palatino Linotype"/>
          <w:szCs w:val="20"/>
        </w:rPr>
        <w:t>le</w:t>
      </w:r>
      <w:r w:rsidRPr="00495D17">
        <w:rPr>
          <w:rFonts w:ascii="Palatino Linotype" w:hAnsi="Palatino Linotype"/>
        </w:rPr>
        <w:t>aves (Batch Number: 850703004221, PVT LTD, Coimbatore-641108, India) were obtained through a maceration process</w:t>
      </w:r>
      <w:r w:rsidR="00E92474">
        <w:rPr>
          <w:rFonts w:ascii="Palatino Linotype" w:hAnsi="Palatino Linotype"/>
        </w:rPr>
        <w:t xml:space="preserve"> </w:t>
      </w:r>
      <w:r w:rsidRPr="003F0587">
        <w:rPr>
          <w:rFonts w:ascii="Palatino Linotype" w:hAnsi="Palatino Linotype"/>
          <w:vertAlign w:val="superscript"/>
        </w:rPr>
        <w:t>(</w:t>
      </w:r>
      <w:r w:rsidR="009F482C">
        <w:rPr>
          <w:rFonts w:ascii="Palatino Linotype" w:hAnsi="Palatino Linotype"/>
          <w:vertAlign w:val="superscript"/>
        </w:rPr>
        <w:t>1</w:t>
      </w:r>
      <w:r w:rsidR="006042A3">
        <w:rPr>
          <w:rFonts w:ascii="Palatino Linotype" w:hAnsi="Palatino Linotype"/>
          <w:vertAlign w:val="superscript"/>
        </w:rPr>
        <w:t>6</w:t>
      </w:r>
      <w:r w:rsidRPr="003F0587">
        <w:rPr>
          <w:rFonts w:ascii="Palatino Linotype" w:hAnsi="Palatino Linotype"/>
          <w:vertAlign w:val="superscript"/>
        </w:rPr>
        <w:t>)</w:t>
      </w:r>
      <w:r w:rsidRPr="00495D17">
        <w:rPr>
          <w:rFonts w:ascii="Palatino Linotype" w:hAnsi="Palatino Linotype"/>
        </w:rPr>
        <w:t xml:space="preserve">. The dried leaves underwent crushing and blending, resulting in 100 grams of the extract </w:t>
      </w:r>
      <w:r w:rsidR="00140628">
        <w:rPr>
          <w:rFonts w:ascii="Palatino Linotype" w:hAnsi="Palatino Linotype"/>
        </w:rPr>
        <w:t>di</w:t>
      </w:r>
      <w:r w:rsidRPr="00495D17">
        <w:rPr>
          <w:rFonts w:ascii="Palatino Linotype" w:hAnsi="Palatino Linotype"/>
        </w:rPr>
        <w:t xml:space="preserve">solved in 1 liter of distilled water, yielding a mixture with a proportion of </w:t>
      </w:r>
      <w:r w:rsidR="00C40193">
        <w:rPr>
          <w:rFonts w:ascii="Palatino Linotype" w:hAnsi="Palatino Linotype"/>
        </w:rPr>
        <w:t>100 mg</w:t>
      </w:r>
      <w:r w:rsidRPr="00495D17">
        <w:rPr>
          <w:rFonts w:ascii="Palatino Linotype" w:hAnsi="Palatino Linotype"/>
        </w:rPr>
        <w:t>/ml. Filtering was employed to remove coarse plant material, utilizing muslin cloth to extract additional solvent from the exhausted plant matter. The ethanolic extract underwent centrifugation (K Centrifuge, PLC series) at 8000 rpm for 10 minutes, filtered using Whatman No. 1 filter paper (England). The refined extract was subsequently dried with a spray drier (Yenchen Machinery) to obtain powdered extract, which was stored in sterile containers in a refrigerator, ensuring its readiness for subsequent experiments.</w:t>
      </w:r>
    </w:p>
    <w:p w14:paraId="463E40E9" w14:textId="5369D3C7" w:rsidR="00495D17" w:rsidRDefault="00495D17" w:rsidP="006D3EBC">
      <w:pPr>
        <w:pStyle w:val="MsoFootnoteText0"/>
        <w:spacing w:before="240" w:after="60" w:line="276" w:lineRule="auto"/>
        <w:ind w:right="543" w:firstLine="0"/>
        <w:rPr>
          <w:rFonts w:ascii="Palatino Linotype" w:hAnsi="Palatino Linotype"/>
        </w:rPr>
      </w:pPr>
      <w:bookmarkStart w:id="4" w:name="_Hlk210996324"/>
      <w:r w:rsidRPr="00495D17">
        <w:rPr>
          <w:rFonts w:ascii="Palatino Linotype" w:hAnsi="Palatino Linotype"/>
        </w:rPr>
        <w:t>Analysis of compounds of Mo Leaves extract</w:t>
      </w:r>
    </w:p>
    <w:bookmarkEnd w:id="4"/>
    <w:p w14:paraId="1DEE559B" w14:textId="1020CBF0" w:rsidR="00495D17" w:rsidRDefault="006361E8" w:rsidP="006D3EBC">
      <w:pPr>
        <w:pStyle w:val="MsoFootnoteText0"/>
        <w:spacing w:before="240" w:after="60" w:line="276" w:lineRule="auto"/>
        <w:ind w:right="543" w:firstLine="0"/>
        <w:rPr>
          <w:rFonts w:ascii="Palatino Linotype" w:hAnsi="Palatino Linotype"/>
        </w:rPr>
      </w:pPr>
      <w:r>
        <w:rPr>
          <w:rFonts w:ascii="Palatino Linotype" w:hAnsi="Palatino Linotype"/>
        </w:rPr>
        <w:t>T</w:t>
      </w:r>
      <w:r w:rsidR="00495D17" w:rsidRPr="00495D17">
        <w:rPr>
          <w:rFonts w:ascii="Palatino Linotype" w:hAnsi="Palatino Linotype"/>
        </w:rPr>
        <w:t>he constituents of the extracts</w:t>
      </w:r>
      <w:r>
        <w:rPr>
          <w:rFonts w:ascii="Palatino Linotype" w:hAnsi="Palatino Linotype"/>
        </w:rPr>
        <w:t xml:space="preserve"> was characterized using G</w:t>
      </w:r>
      <w:r w:rsidRPr="00495D17">
        <w:rPr>
          <w:rFonts w:ascii="Palatino Linotype" w:hAnsi="Palatino Linotype"/>
        </w:rPr>
        <w:t xml:space="preserve">as </w:t>
      </w:r>
      <w:r>
        <w:rPr>
          <w:rFonts w:ascii="Palatino Linotype" w:hAnsi="Palatino Linotype"/>
        </w:rPr>
        <w:t>C</w:t>
      </w:r>
      <w:r w:rsidRPr="00495D17">
        <w:rPr>
          <w:rFonts w:ascii="Palatino Linotype" w:hAnsi="Palatino Linotype"/>
        </w:rPr>
        <w:t>hromatography–</w:t>
      </w:r>
      <w:r>
        <w:rPr>
          <w:rFonts w:ascii="Palatino Linotype" w:hAnsi="Palatino Linotype"/>
        </w:rPr>
        <w:t>M</w:t>
      </w:r>
      <w:r w:rsidRPr="00495D17">
        <w:rPr>
          <w:rFonts w:ascii="Palatino Linotype" w:hAnsi="Palatino Linotype"/>
        </w:rPr>
        <w:t xml:space="preserve">ass </w:t>
      </w:r>
      <w:r>
        <w:rPr>
          <w:rFonts w:ascii="Palatino Linotype" w:hAnsi="Palatino Linotype"/>
        </w:rPr>
        <w:t>S</w:t>
      </w:r>
      <w:r w:rsidRPr="00495D17">
        <w:rPr>
          <w:rFonts w:ascii="Palatino Linotype" w:hAnsi="Palatino Linotype"/>
        </w:rPr>
        <w:t>pectrometry (GC</w:t>
      </w:r>
      <w:r w:rsidR="00C76A2F">
        <w:rPr>
          <w:rFonts w:ascii="Palatino Linotype" w:hAnsi="Palatino Linotype"/>
        </w:rPr>
        <w:t>/</w:t>
      </w:r>
      <w:r w:rsidRPr="00495D17">
        <w:rPr>
          <w:rFonts w:ascii="Palatino Linotype" w:hAnsi="Palatino Linotype"/>
        </w:rPr>
        <w:t xml:space="preserve">MS) </w:t>
      </w:r>
      <w:r w:rsidRPr="006042A3">
        <w:rPr>
          <w:rFonts w:ascii="Palatino Linotype" w:hAnsi="Palatino Linotype"/>
        </w:rPr>
        <w:t>analysis</w:t>
      </w:r>
      <w:r w:rsidR="006009B9" w:rsidRPr="006042A3">
        <w:rPr>
          <w:rFonts w:ascii="Palatino Linotype" w:hAnsi="Palatino Linotype"/>
        </w:rPr>
        <w:t xml:space="preserve"> </w:t>
      </w:r>
      <w:r w:rsidR="006009B9" w:rsidRPr="006042A3">
        <w:rPr>
          <w:rFonts w:ascii="Palatino Linotype" w:hAnsi="Palatino Linotype"/>
          <w:vertAlign w:val="superscript"/>
        </w:rPr>
        <w:t>(</w:t>
      </w:r>
      <w:r w:rsidR="006042A3" w:rsidRPr="006042A3">
        <w:rPr>
          <w:rFonts w:ascii="Palatino Linotype" w:hAnsi="Palatino Linotype"/>
          <w:vertAlign w:val="superscript"/>
        </w:rPr>
        <w:t>17</w:t>
      </w:r>
      <w:r w:rsidR="006009B9" w:rsidRPr="006042A3">
        <w:rPr>
          <w:rFonts w:ascii="Palatino Linotype" w:hAnsi="Palatino Linotype"/>
          <w:vertAlign w:val="superscript"/>
        </w:rPr>
        <w:t>)</w:t>
      </w:r>
      <w:r w:rsidR="006009B9" w:rsidRPr="006042A3">
        <w:rPr>
          <w:rFonts w:ascii="Palatino Linotype" w:hAnsi="Palatino Linotype"/>
        </w:rPr>
        <w:t>,</w:t>
      </w:r>
      <w:r w:rsidRPr="00495D17">
        <w:rPr>
          <w:rFonts w:ascii="Palatino Linotype" w:hAnsi="Palatino Linotype"/>
        </w:rPr>
        <w:t xml:space="preserve"> (Agilent Technologies 7820A GC System, USA)</w:t>
      </w:r>
      <w:r w:rsidR="00495D17" w:rsidRPr="00495D17">
        <w:rPr>
          <w:rFonts w:ascii="Palatino Linotype" w:hAnsi="Palatino Linotype"/>
        </w:rPr>
        <w:t>. Each extract was loaded as a 1 µl sample solution into the GC-MS system. A standard capillary column (30</w:t>
      </w:r>
      <w:r w:rsidR="00C40193">
        <w:rPr>
          <w:rFonts w:ascii="Palatino Linotype" w:hAnsi="Palatino Linotype"/>
        </w:rPr>
        <w:t xml:space="preserve"> </w:t>
      </w:r>
      <w:r w:rsidR="00495D17" w:rsidRPr="00495D17">
        <w:rPr>
          <w:rFonts w:ascii="Palatino Linotype" w:hAnsi="Palatino Linotype"/>
        </w:rPr>
        <w:t>mm x 0.25 mm x 0.25 µm film thickness) was utilized within the mass spectrometer. The column temperature initially held at 100°C for 6 minutes was gradually increased to 255</w:t>
      </w:r>
      <w:r w:rsidR="00C40193">
        <w:rPr>
          <w:rFonts w:ascii="Palatino Linotype" w:hAnsi="Palatino Linotype"/>
        </w:rPr>
        <w:t xml:space="preserve"> </w:t>
      </w:r>
      <w:r w:rsidR="00495D17" w:rsidRPr="00495D17">
        <w:rPr>
          <w:rFonts w:ascii="Palatino Linotype" w:hAnsi="Palatino Linotype"/>
        </w:rPr>
        <w:t>C at a rate of 10</w:t>
      </w:r>
      <w:r w:rsidR="00C40193">
        <w:rPr>
          <w:rFonts w:ascii="Palatino Linotype" w:hAnsi="Palatino Linotype"/>
        </w:rPr>
        <w:t xml:space="preserve"> </w:t>
      </w:r>
      <w:r w:rsidR="00495D17" w:rsidRPr="00495D17">
        <w:rPr>
          <w:rFonts w:ascii="Palatino Linotype" w:hAnsi="Palatino Linotype"/>
        </w:rPr>
        <w:t>C/min and maintained at this temperature for 10 minutes. Helium, at a continuous flow rate of 1 ml/min, was served as the carrier gas. The mass spectrometer operated in the electron impact (EI) ionization mode with parameters set at 1500 V for the ion source temperature 245</w:t>
      </w:r>
      <w:r w:rsidR="00C40193">
        <w:rPr>
          <w:rFonts w:ascii="Palatino Linotype" w:hAnsi="Palatino Linotype"/>
        </w:rPr>
        <w:t xml:space="preserve"> </w:t>
      </w:r>
      <w:r w:rsidR="00495D17" w:rsidRPr="00495D17">
        <w:rPr>
          <w:rFonts w:ascii="Palatino Linotype" w:hAnsi="Palatino Linotype"/>
        </w:rPr>
        <w:t>C and 150</w:t>
      </w:r>
      <w:r w:rsidR="00C40193">
        <w:rPr>
          <w:rFonts w:ascii="Palatino Linotype" w:hAnsi="Palatino Linotype"/>
        </w:rPr>
        <w:t xml:space="preserve"> </w:t>
      </w:r>
      <w:r w:rsidR="00495D17" w:rsidRPr="00495D17">
        <w:rPr>
          <w:rFonts w:ascii="Palatino Linotype" w:hAnsi="Palatino Linotype"/>
        </w:rPr>
        <w:t>C for the MS quad temperature. Mass spectral data were collected using the GC-MSD Agilent Chem Station Software. Identification of the extracted components was based on the comparison of the obtained MS values with the collection of the National Institute of Standards and Technology (NIST).</w:t>
      </w:r>
    </w:p>
    <w:p w14:paraId="062716E4" w14:textId="7C53FAC5" w:rsidR="00495D17" w:rsidRDefault="00495D17" w:rsidP="006D3EBC">
      <w:pPr>
        <w:pStyle w:val="MsoFootnoteText0"/>
        <w:spacing w:before="240" w:after="60" w:line="276" w:lineRule="auto"/>
        <w:ind w:right="543" w:firstLine="0"/>
        <w:rPr>
          <w:rFonts w:ascii="Palatino Linotype" w:hAnsi="Palatino Linotype"/>
        </w:rPr>
      </w:pPr>
      <w:bookmarkStart w:id="5" w:name="_Hlk210996357"/>
      <w:r w:rsidRPr="00495D17">
        <w:rPr>
          <w:rFonts w:ascii="Palatino Linotype" w:hAnsi="Palatino Linotype"/>
        </w:rPr>
        <w:t>Agar well and disk diffusion test</w:t>
      </w:r>
    </w:p>
    <w:bookmarkEnd w:id="5"/>
    <w:p w14:paraId="3CC85BF7" w14:textId="0BD93B47" w:rsidR="00495D17" w:rsidRDefault="00495D17" w:rsidP="006D3EBC">
      <w:pPr>
        <w:pStyle w:val="MsoFootnoteText0"/>
        <w:spacing w:before="240" w:after="60" w:line="276" w:lineRule="auto"/>
        <w:ind w:right="543" w:firstLine="0"/>
        <w:rPr>
          <w:rFonts w:ascii="Palatino Linotype" w:hAnsi="Palatino Linotype"/>
        </w:rPr>
      </w:pPr>
      <w:r w:rsidRPr="00495D17">
        <w:rPr>
          <w:rFonts w:ascii="Palatino Linotype" w:hAnsi="Palatino Linotype"/>
        </w:rPr>
        <w:t xml:space="preserve">The agar well diffusion method was employed to assess the antimicrobial sensitivity of </w:t>
      </w:r>
      <w:r w:rsidRPr="00EF6F8A">
        <w:rPr>
          <w:rFonts w:ascii="Palatino Linotype" w:hAnsi="Palatino Linotype"/>
          <w:i/>
          <w:iCs/>
        </w:rPr>
        <w:t>P.</w:t>
      </w:r>
      <w:r w:rsidRPr="00495D17">
        <w:rPr>
          <w:rFonts w:ascii="Palatino Linotype" w:hAnsi="Palatino Linotype"/>
        </w:rPr>
        <w:t xml:space="preserve"> </w:t>
      </w:r>
      <w:r w:rsidRPr="00EF6F8A">
        <w:rPr>
          <w:rFonts w:ascii="Palatino Linotype" w:hAnsi="Palatino Linotype"/>
          <w:i/>
          <w:iCs/>
        </w:rPr>
        <w:t>gingivalis</w:t>
      </w:r>
      <w:r w:rsidRPr="00495D17">
        <w:rPr>
          <w:rFonts w:ascii="Palatino Linotype" w:hAnsi="Palatino Linotype"/>
        </w:rPr>
        <w:t xml:space="preserve"> to the ethanolic extract of Mo leaves</w:t>
      </w:r>
      <w:r w:rsidR="00E92474">
        <w:rPr>
          <w:rFonts w:ascii="Palatino Linotype" w:hAnsi="Palatino Linotype"/>
        </w:rPr>
        <w:t xml:space="preserve"> </w:t>
      </w:r>
      <w:r w:rsidRPr="003F0587">
        <w:rPr>
          <w:rFonts w:ascii="Palatino Linotype" w:hAnsi="Palatino Linotype"/>
          <w:vertAlign w:val="superscript"/>
        </w:rPr>
        <w:t>(</w:t>
      </w:r>
      <w:r w:rsidR="00114352">
        <w:rPr>
          <w:rFonts w:ascii="Palatino Linotype" w:hAnsi="Palatino Linotype"/>
          <w:vertAlign w:val="superscript"/>
        </w:rPr>
        <w:t>18</w:t>
      </w:r>
      <w:r w:rsidRPr="003F0587">
        <w:rPr>
          <w:rFonts w:ascii="Palatino Linotype" w:hAnsi="Palatino Linotype"/>
          <w:vertAlign w:val="superscript"/>
        </w:rPr>
        <w:t>)</w:t>
      </w:r>
      <w:r w:rsidRPr="00495D17">
        <w:rPr>
          <w:rFonts w:ascii="Palatino Linotype" w:hAnsi="Palatino Linotype"/>
        </w:rPr>
        <w:t xml:space="preserve">. The inoculation of 50 μl of </w:t>
      </w:r>
      <w:r w:rsidRPr="00EF6F8A">
        <w:rPr>
          <w:rFonts w:ascii="Palatino Linotype" w:hAnsi="Palatino Linotype"/>
          <w:i/>
          <w:iCs/>
        </w:rPr>
        <w:t>P.</w:t>
      </w:r>
      <w:r w:rsidRPr="00495D17">
        <w:rPr>
          <w:rFonts w:ascii="Palatino Linotype" w:hAnsi="Palatino Linotype"/>
        </w:rPr>
        <w:t xml:space="preserve"> </w:t>
      </w:r>
      <w:r w:rsidRPr="00EF6F8A">
        <w:rPr>
          <w:rFonts w:ascii="Palatino Linotype" w:hAnsi="Palatino Linotype"/>
          <w:i/>
          <w:iCs/>
        </w:rPr>
        <w:t>gingivalis</w:t>
      </w:r>
      <w:r w:rsidRPr="00495D17">
        <w:rPr>
          <w:rFonts w:ascii="Palatino Linotype" w:hAnsi="Palatino Linotype"/>
        </w:rPr>
        <w:t xml:space="preserve"> suspension was inoculated using L-shaped loop on Mueller Hinton agar (MHA) plates and left for dryness. A sterile micropipette tip was punctured the MHA plate used to make holes (6 mm in diamenter). Subsequently, 100 μl of Mo ethanolic extract at concentrations 25, 50, 75, and 100 mg/ml was applied to the well holes</w:t>
      </w:r>
      <w:r w:rsidR="00B5507D">
        <w:rPr>
          <w:rFonts w:ascii="Palatino Linotype" w:hAnsi="Palatino Linotype"/>
        </w:rPr>
        <w:t xml:space="preserve"> </w:t>
      </w:r>
      <w:r w:rsidR="00B5507D" w:rsidRPr="00B5507D">
        <w:rPr>
          <w:rFonts w:ascii="Palatino Linotype" w:hAnsi="Palatino Linotype"/>
          <w:vertAlign w:val="superscript"/>
        </w:rPr>
        <w:t>(</w:t>
      </w:r>
      <w:r w:rsidR="00114352">
        <w:rPr>
          <w:rFonts w:ascii="Palatino Linotype" w:hAnsi="Palatino Linotype"/>
          <w:vertAlign w:val="superscript"/>
        </w:rPr>
        <w:t>1</w:t>
      </w:r>
      <w:r w:rsidR="005147DA">
        <w:rPr>
          <w:rFonts w:ascii="Palatino Linotype" w:hAnsi="Palatino Linotype"/>
          <w:vertAlign w:val="superscript"/>
        </w:rPr>
        <w:t>9</w:t>
      </w:r>
      <w:r w:rsidR="00337BA0">
        <w:rPr>
          <w:rFonts w:ascii="Palatino Linotype" w:hAnsi="Palatino Linotype"/>
          <w:vertAlign w:val="superscript"/>
        </w:rPr>
        <w:t>)</w:t>
      </w:r>
      <w:r w:rsidR="00337BA0">
        <w:rPr>
          <w:rFonts w:ascii="Palatino Linotype" w:hAnsi="Palatino Linotype"/>
        </w:rPr>
        <w:t xml:space="preserve">. The </w:t>
      </w:r>
      <w:r w:rsidRPr="00495D17">
        <w:rPr>
          <w:rFonts w:ascii="Palatino Linotype" w:hAnsi="Palatino Linotype"/>
        </w:rPr>
        <w:t xml:space="preserve">agar disk </w:t>
      </w:r>
      <w:r w:rsidRPr="00495D17">
        <w:rPr>
          <w:rFonts w:ascii="Palatino Linotype" w:hAnsi="Palatino Linotype"/>
        </w:rPr>
        <w:lastRenderedPageBreak/>
        <w:t xml:space="preserve">diffusion was employed to assess the antibacterial efficacy of Metronidazole and Augmentin against </w:t>
      </w:r>
      <w:r w:rsidR="00A94DA8">
        <w:rPr>
          <w:rFonts w:ascii="Palatino Linotype" w:hAnsi="Palatino Linotype"/>
        </w:rPr>
        <w:t xml:space="preserve">         </w:t>
      </w:r>
      <w:r w:rsidRPr="00EF6F8A">
        <w:rPr>
          <w:rFonts w:ascii="Palatino Linotype" w:hAnsi="Palatino Linotype"/>
          <w:i/>
          <w:iCs/>
        </w:rPr>
        <w:t>P.</w:t>
      </w:r>
      <w:r w:rsidRPr="00495D17">
        <w:rPr>
          <w:rFonts w:ascii="Palatino Linotype" w:hAnsi="Palatino Linotype"/>
        </w:rPr>
        <w:t xml:space="preserve"> </w:t>
      </w:r>
      <w:r w:rsidRPr="00EF6F8A">
        <w:rPr>
          <w:rFonts w:ascii="Palatino Linotype" w:hAnsi="Palatino Linotype"/>
          <w:i/>
          <w:iCs/>
        </w:rPr>
        <w:t>gingivalis</w:t>
      </w:r>
      <w:r w:rsidRPr="00495D17">
        <w:rPr>
          <w:rFonts w:ascii="Palatino Linotype" w:hAnsi="Palatino Linotype"/>
        </w:rPr>
        <w:t xml:space="preserve">. Two antibiotic discs (HiMedia, India) of Augmentin (30 </w:t>
      </w:r>
      <w:r w:rsidR="00C40193" w:rsidRPr="00495D17">
        <w:rPr>
          <w:rFonts w:ascii="Palatino Linotype" w:hAnsi="Palatino Linotype"/>
        </w:rPr>
        <w:t>μ</w:t>
      </w:r>
      <w:r w:rsidRPr="00495D17">
        <w:rPr>
          <w:rFonts w:ascii="Palatino Linotype" w:hAnsi="Palatino Linotype"/>
        </w:rPr>
        <w:t>g)</w:t>
      </w:r>
      <w:r w:rsidR="00716588">
        <w:rPr>
          <w:rFonts w:ascii="Palatino Linotype" w:hAnsi="Palatino Linotype"/>
        </w:rPr>
        <w:t xml:space="preserve"> </w:t>
      </w:r>
      <w:r w:rsidR="00716588" w:rsidRPr="001B08B3">
        <w:rPr>
          <w:rFonts w:ascii="Palatino Linotype" w:hAnsi="Palatino Linotype"/>
          <w:vertAlign w:val="superscript"/>
        </w:rPr>
        <w:t>(</w:t>
      </w:r>
      <w:r w:rsidR="005147DA">
        <w:rPr>
          <w:rFonts w:ascii="Palatino Linotype" w:hAnsi="Palatino Linotype"/>
          <w:vertAlign w:val="superscript"/>
        </w:rPr>
        <w:t>20</w:t>
      </w:r>
      <w:r w:rsidR="001B08B3" w:rsidRPr="001B08B3">
        <w:rPr>
          <w:rFonts w:ascii="Palatino Linotype" w:hAnsi="Palatino Linotype"/>
          <w:vertAlign w:val="superscript"/>
        </w:rPr>
        <w:t>)</w:t>
      </w:r>
      <w:r w:rsidR="004A3903">
        <w:rPr>
          <w:rFonts w:ascii="Palatino Linotype" w:hAnsi="Palatino Linotype"/>
        </w:rPr>
        <w:t xml:space="preserve"> </w:t>
      </w:r>
      <w:r w:rsidRPr="00495D17">
        <w:rPr>
          <w:rFonts w:ascii="Palatino Linotype" w:hAnsi="Palatino Linotype"/>
        </w:rPr>
        <w:t xml:space="preserve">and metronidazole (5 </w:t>
      </w:r>
      <w:r w:rsidR="00C40193" w:rsidRPr="00495D17">
        <w:rPr>
          <w:rFonts w:ascii="Palatino Linotype" w:hAnsi="Palatino Linotype"/>
        </w:rPr>
        <w:t>μ</w:t>
      </w:r>
      <w:r w:rsidRPr="00495D17">
        <w:rPr>
          <w:rFonts w:ascii="Palatino Linotype" w:hAnsi="Palatino Linotype"/>
        </w:rPr>
        <w:t>g)</w:t>
      </w:r>
      <w:r w:rsidR="004A3903">
        <w:rPr>
          <w:rFonts w:ascii="Palatino Linotype" w:hAnsi="Palatino Linotype"/>
        </w:rPr>
        <w:t xml:space="preserve"> </w:t>
      </w:r>
      <w:r w:rsidR="00182F96">
        <w:rPr>
          <w:rFonts w:ascii="Palatino Linotype" w:hAnsi="Palatino Linotype"/>
          <w:vertAlign w:val="superscript"/>
        </w:rPr>
        <w:t>(</w:t>
      </w:r>
      <w:r w:rsidR="005147DA">
        <w:rPr>
          <w:rFonts w:ascii="Palatino Linotype" w:hAnsi="Palatino Linotype"/>
          <w:vertAlign w:val="superscript"/>
        </w:rPr>
        <w:t>21</w:t>
      </w:r>
      <w:r w:rsidR="00285B1B">
        <w:rPr>
          <w:rFonts w:ascii="Palatino Linotype" w:hAnsi="Palatino Linotype"/>
          <w:vertAlign w:val="superscript"/>
        </w:rPr>
        <w:t>)</w:t>
      </w:r>
      <w:r w:rsidRPr="00495D17">
        <w:rPr>
          <w:rFonts w:ascii="Palatino Linotype" w:hAnsi="Palatino Linotype"/>
        </w:rPr>
        <w:t xml:space="preserve"> were placed onto the surface of agar plates within 15 min of inoculation. 100 μl of sterilized distilled water (DW) and alcohol free 0.12% chlorhexidine (CHX, periokin) were used as negative and positive controls, respectively. All plates were then anaerobically incubated for 48 hours at 36.5°C.</w:t>
      </w:r>
      <w:r w:rsidR="00B740DF">
        <w:rPr>
          <w:rFonts w:ascii="Palatino Linotype" w:eastAsiaTheme="minorEastAsia" w:hAnsi="Palatino Linotype" w:hint="eastAsia"/>
          <w:lang w:eastAsia="ja-JP"/>
        </w:rPr>
        <w:t xml:space="preserve"> </w:t>
      </w:r>
      <w:r w:rsidRPr="00495D17">
        <w:rPr>
          <w:rFonts w:ascii="Palatino Linotype" w:hAnsi="Palatino Linotype"/>
        </w:rPr>
        <w:t>The diameter of the inhibition zones was assessed using vernier caliper and recorded as the average width of the inhibition zone surrounding each well containing the extracts solutions.</w:t>
      </w:r>
      <w:r w:rsidR="00F81ECF">
        <w:rPr>
          <w:rFonts w:ascii="Palatino Linotype" w:hAnsi="Palatino Linotype"/>
        </w:rPr>
        <w:t xml:space="preserve"> An inhibition zone</w:t>
      </w:r>
      <w:r w:rsidR="00F81ECF" w:rsidRPr="00F81ECF">
        <w:rPr>
          <w:rFonts w:ascii="Palatino Linotype" w:hAnsi="Palatino Linotype"/>
        </w:rPr>
        <w:t xml:space="preserve"> </w:t>
      </w:r>
      <w:r w:rsidR="00F81ECF">
        <w:rPr>
          <w:rFonts w:ascii="Palatino Linotype" w:hAnsi="Palatino Linotype"/>
        </w:rPr>
        <w:t xml:space="preserve">(IZ) </w:t>
      </w:r>
      <w:r w:rsidR="00F81ECF" w:rsidRPr="00F81ECF">
        <w:rPr>
          <w:rFonts w:ascii="Palatino Linotype" w:hAnsi="Palatino Linotype"/>
        </w:rPr>
        <w:t xml:space="preserve">measuring more than 8mm </w:t>
      </w:r>
      <w:r w:rsidR="00AE3E98">
        <w:rPr>
          <w:rFonts w:ascii="Palatino Linotype" w:hAnsi="Palatino Linotype"/>
        </w:rPr>
        <w:t>considers</w:t>
      </w:r>
      <w:r w:rsidR="00F81ECF" w:rsidRPr="00F81ECF">
        <w:rPr>
          <w:rFonts w:ascii="Palatino Linotype" w:hAnsi="Palatino Linotype"/>
        </w:rPr>
        <w:t xml:space="preserve"> </w:t>
      </w:r>
      <w:r w:rsidR="00AE3E98" w:rsidRPr="00AE3E98">
        <w:rPr>
          <w:rFonts w:ascii="Palatino Linotype" w:hAnsi="Palatino Linotype"/>
          <w:i/>
          <w:iCs/>
        </w:rPr>
        <w:t>P. gingivalis</w:t>
      </w:r>
      <w:r w:rsidR="00F81ECF" w:rsidRPr="00F81ECF">
        <w:rPr>
          <w:rFonts w:ascii="Palatino Linotype" w:hAnsi="Palatino Linotype"/>
        </w:rPr>
        <w:t xml:space="preserve"> </w:t>
      </w:r>
      <w:r w:rsidR="00AE3E98">
        <w:rPr>
          <w:rFonts w:ascii="Palatino Linotype" w:hAnsi="Palatino Linotype"/>
        </w:rPr>
        <w:t>as</w:t>
      </w:r>
      <w:r w:rsidR="00F81ECF" w:rsidRPr="00F81ECF">
        <w:rPr>
          <w:rFonts w:ascii="Palatino Linotype" w:hAnsi="Palatino Linotype"/>
        </w:rPr>
        <w:t xml:space="preserve"> susceptible </w:t>
      </w:r>
      <w:r w:rsidR="00F81ECF">
        <w:rPr>
          <w:rFonts w:ascii="Palatino Linotype" w:hAnsi="Palatino Linotype"/>
        </w:rPr>
        <w:t>against used</w:t>
      </w:r>
      <w:r w:rsidR="00F81ECF" w:rsidRPr="00F81ECF">
        <w:rPr>
          <w:rFonts w:ascii="Palatino Linotype" w:hAnsi="Palatino Linotype"/>
        </w:rPr>
        <w:t xml:space="preserve"> antibiotics</w:t>
      </w:r>
      <w:r w:rsidR="00F81ECF">
        <w:rPr>
          <w:rFonts w:ascii="Palatino Linotype" w:hAnsi="Palatino Linotype"/>
        </w:rPr>
        <w:t xml:space="preserve">, and subjected for further MIC and MBC testings, other wise, it considered resistant if it was less than 8mm IZ, and </w:t>
      </w:r>
      <w:r w:rsidR="009E64BE">
        <w:rPr>
          <w:rFonts w:ascii="Palatino Linotype" w:hAnsi="Palatino Linotype"/>
        </w:rPr>
        <w:t>not underwent MIC and MBC analysis</w:t>
      </w:r>
      <w:r w:rsidR="006E0B5A">
        <w:rPr>
          <w:rFonts w:ascii="Palatino Linotype" w:hAnsi="Palatino Linotype"/>
        </w:rPr>
        <w:t xml:space="preserve"> </w:t>
      </w:r>
      <w:r w:rsidR="006E0B5A" w:rsidRPr="006E0B5A">
        <w:rPr>
          <w:rFonts w:ascii="Palatino Linotype" w:hAnsi="Palatino Linotype"/>
          <w:vertAlign w:val="superscript"/>
        </w:rPr>
        <w:t>(</w:t>
      </w:r>
      <w:r w:rsidR="00E56960">
        <w:rPr>
          <w:rFonts w:ascii="Palatino Linotype" w:hAnsi="Palatino Linotype"/>
          <w:vertAlign w:val="superscript"/>
        </w:rPr>
        <w:t>2</w:t>
      </w:r>
      <w:r w:rsidR="00E950CC">
        <w:rPr>
          <w:rFonts w:ascii="Palatino Linotype" w:hAnsi="Palatino Linotype"/>
          <w:vertAlign w:val="superscript"/>
        </w:rPr>
        <w:t>2</w:t>
      </w:r>
      <w:r w:rsidR="006E0B5A" w:rsidRPr="006E0B5A">
        <w:rPr>
          <w:rFonts w:ascii="Palatino Linotype" w:hAnsi="Palatino Linotype"/>
          <w:vertAlign w:val="superscript"/>
        </w:rPr>
        <w:t>)</w:t>
      </w:r>
      <w:r w:rsidR="00F81ECF" w:rsidRPr="00F81ECF">
        <w:rPr>
          <w:rFonts w:ascii="Palatino Linotype" w:hAnsi="Palatino Linotype"/>
        </w:rPr>
        <w:t>.</w:t>
      </w:r>
    </w:p>
    <w:p w14:paraId="261A0B2C" w14:textId="377E90DB" w:rsidR="00495D17" w:rsidRDefault="00495D17" w:rsidP="006D3EBC">
      <w:pPr>
        <w:pStyle w:val="MsoFootnoteText0"/>
        <w:spacing w:before="240" w:after="60" w:line="276" w:lineRule="auto"/>
        <w:ind w:right="543" w:firstLine="0"/>
        <w:rPr>
          <w:rFonts w:ascii="Palatino Linotype" w:hAnsi="Palatino Linotype"/>
        </w:rPr>
      </w:pPr>
      <w:bookmarkStart w:id="6" w:name="_Hlk210996377"/>
      <w:r w:rsidRPr="00495D17">
        <w:rPr>
          <w:rFonts w:ascii="Palatino Linotype" w:hAnsi="Palatino Linotype"/>
        </w:rPr>
        <w:t>Determination of the minimum inhibitory concentration  and the minimum bactericidal concentration  of Mo leave extract</w:t>
      </w:r>
    </w:p>
    <w:bookmarkEnd w:id="6"/>
    <w:p w14:paraId="39D3A2AC" w14:textId="694B9736" w:rsidR="00495D17" w:rsidRDefault="00495D17" w:rsidP="006D3EBC">
      <w:pPr>
        <w:pStyle w:val="MsoFootnoteText0"/>
        <w:spacing w:before="240" w:after="60" w:line="276" w:lineRule="auto"/>
        <w:ind w:right="543" w:firstLine="0"/>
        <w:rPr>
          <w:rFonts w:ascii="Palatino Linotype" w:hAnsi="Palatino Linotype"/>
        </w:rPr>
      </w:pPr>
      <w:r w:rsidRPr="00495D17">
        <w:rPr>
          <w:rFonts w:ascii="Palatino Linotype" w:hAnsi="Palatino Linotype"/>
        </w:rPr>
        <w:t xml:space="preserve">The Minimum Inhibitory Concentration (MIC) for ethanolic extract of Mo leaves was determined using a macro two-fold serial dilution method. In this process, each of the 10 labeled test tubes (T1-T10) was loaded with 900 μl of Mueller-Hinton broth (MHB). The first tube received 900 μl of the extract at a concentration of 50 mg/ml, and subsequent serial dilutions were made from the 1st to the 8th tube, leading to concentrations of 50, 25, 12.5, 6.25, 3.12, 1.56, 0.78, and 0.39 mg/ml. The negative and positive controls consisted of MHB in T9, while T10 contained 900 μl of a 0.12% </w:t>
      </w:r>
      <w:r w:rsidR="00BD7F3B" w:rsidRPr="00BD7F3B">
        <w:rPr>
          <w:rFonts w:ascii="Palatino Linotype" w:hAnsi="Palatino Linotype"/>
        </w:rPr>
        <w:t>Chlorhexidine</w:t>
      </w:r>
      <w:r w:rsidRPr="00495D17">
        <w:rPr>
          <w:rFonts w:ascii="Palatino Linotype" w:hAnsi="Palatino Linotype"/>
        </w:rPr>
        <w:t>-MHB mixture, respectively. The</w:t>
      </w:r>
      <w:r w:rsidR="00BD7F3B">
        <w:rPr>
          <w:rFonts w:ascii="Palatino Linotype" w:hAnsi="Palatino Linotype"/>
        </w:rPr>
        <w:t xml:space="preserve"> </w:t>
      </w:r>
      <w:r w:rsidRPr="00EF6F8A">
        <w:rPr>
          <w:rFonts w:ascii="Palatino Linotype" w:hAnsi="Palatino Linotype"/>
          <w:i/>
          <w:iCs/>
        </w:rPr>
        <w:t>P.</w:t>
      </w:r>
      <w:r w:rsidRPr="00495D17">
        <w:rPr>
          <w:rFonts w:ascii="Palatino Linotype" w:hAnsi="Palatino Linotype"/>
        </w:rPr>
        <w:t xml:space="preserve"> </w:t>
      </w:r>
      <w:r w:rsidRPr="00EF6F8A">
        <w:rPr>
          <w:rFonts w:ascii="Palatino Linotype" w:hAnsi="Palatino Linotype"/>
          <w:i/>
          <w:iCs/>
        </w:rPr>
        <w:t>gingivalis</w:t>
      </w:r>
      <w:r w:rsidRPr="00495D17">
        <w:rPr>
          <w:rFonts w:ascii="Palatino Linotype" w:hAnsi="Palatino Linotype"/>
        </w:rPr>
        <w:t xml:space="preserve"> suspension was made by the following steps: The well-determined colonies of</w:t>
      </w:r>
      <w:r w:rsidR="00FC0D89">
        <w:rPr>
          <w:rFonts w:ascii="Palatino Linotype" w:hAnsi="Palatino Linotype"/>
        </w:rPr>
        <w:t xml:space="preserve">                           </w:t>
      </w:r>
      <w:r w:rsidR="00C40193">
        <w:rPr>
          <w:rFonts w:ascii="Palatino Linotype" w:hAnsi="Palatino Linotype"/>
        </w:rPr>
        <w:t xml:space="preserve">    </w:t>
      </w:r>
      <w:r w:rsidRPr="00C40193">
        <w:rPr>
          <w:rFonts w:ascii="Palatino Linotype" w:hAnsi="Palatino Linotype"/>
          <w:i/>
          <w:iCs/>
        </w:rPr>
        <w:t>P. gingivlais</w:t>
      </w:r>
      <w:r w:rsidRPr="00495D17">
        <w:rPr>
          <w:rFonts w:ascii="Palatino Linotype" w:hAnsi="Palatino Linotype"/>
        </w:rPr>
        <w:t xml:space="preserve"> growing on the agar were inoculated in 3 ml of MHB, containing 1 µg/ml of menadione and 5 µg/ml of hemin using sterile loops. The </w:t>
      </w:r>
      <w:r w:rsidRPr="003F0587">
        <w:rPr>
          <w:rFonts w:ascii="Palatino Linotype" w:hAnsi="Palatino Linotype"/>
          <w:i/>
          <w:iCs/>
        </w:rPr>
        <w:t>P. gingivalis</w:t>
      </w:r>
      <w:r w:rsidRPr="00495D17">
        <w:rPr>
          <w:rFonts w:ascii="Palatino Linotype" w:hAnsi="Palatino Linotype"/>
        </w:rPr>
        <w:t xml:space="preserve"> suspension then adjusted to 5 × 10</w:t>
      </w:r>
      <w:r w:rsidRPr="00C40193">
        <w:rPr>
          <w:rFonts w:ascii="Palatino Linotype" w:hAnsi="Palatino Linotype"/>
          <w:vertAlign w:val="superscript"/>
        </w:rPr>
        <w:t>5</w:t>
      </w:r>
      <w:r w:rsidRPr="00495D17">
        <w:rPr>
          <w:rFonts w:ascii="Palatino Linotype" w:hAnsi="Palatino Linotype"/>
        </w:rPr>
        <w:t xml:space="preserve"> CFU/ml concentration at 660 nm optical density </w:t>
      </w:r>
      <w:r w:rsidR="008129B6">
        <w:rPr>
          <w:rFonts w:ascii="Palatino Linotype" w:hAnsi="Palatino Linotype"/>
        </w:rPr>
        <w:t>adjusted</w:t>
      </w:r>
      <w:r w:rsidRPr="00495D17">
        <w:rPr>
          <w:rFonts w:ascii="Palatino Linotype" w:hAnsi="Palatino Linotype"/>
        </w:rPr>
        <w:t xml:space="preserve"> to the 0.5 McFarland's turbidity standard</w:t>
      </w:r>
      <w:r w:rsidR="00E92474">
        <w:rPr>
          <w:rFonts w:ascii="Palatino Linotype" w:hAnsi="Palatino Linotype"/>
        </w:rPr>
        <w:t xml:space="preserve"> </w:t>
      </w:r>
      <w:r w:rsidRPr="003F0587">
        <w:rPr>
          <w:rFonts w:ascii="Palatino Linotype" w:hAnsi="Palatino Linotype"/>
          <w:vertAlign w:val="superscript"/>
        </w:rPr>
        <w:t>(</w:t>
      </w:r>
      <w:r w:rsidR="00895F14">
        <w:rPr>
          <w:rFonts w:ascii="Palatino Linotype" w:hAnsi="Palatino Linotype"/>
          <w:vertAlign w:val="superscript"/>
        </w:rPr>
        <w:t>2</w:t>
      </w:r>
      <w:r w:rsidR="00014CE4">
        <w:rPr>
          <w:rFonts w:ascii="Palatino Linotype" w:hAnsi="Palatino Linotype"/>
          <w:vertAlign w:val="superscript"/>
        </w:rPr>
        <w:t>3</w:t>
      </w:r>
      <w:r w:rsidRPr="003F0587">
        <w:rPr>
          <w:rFonts w:ascii="Palatino Linotype" w:hAnsi="Palatino Linotype"/>
          <w:vertAlign w:val="superscript"/>
        </w:rPr>
        <w:t>)</w:t>
      </w:r>
      <w:r w:rsidRPr="00495D17">
        <w:rPr>
          <w:rFonts w:ascii="Palatino Linotype" w:hAnsi="Palatino Linotype"/>
        </w:rPr>
        <w:t xml:space="preserve">. To each dilution, the addition of 100 μl </w:t>
      </w:r>
      <w:r w:rsidRPr="003F0587">
        <w:rPr>
          <w:rFonts w:ascii="Palatino Linotype" w:hAnsi="Palatino Linotype"/>
          <w:i/>
          <w:iCs/>
        </w:rPr>
        <w:t>P. gingivalis</w:t>
      </w:r>
      <w:r w:rsidRPr="00495D17">
        <w:rPr>
          <w:rFonts w:ascii="Palatino Linotype" w:hAnsi="Palatino Linotype"/>
        </w:rPr>
        <w:t xml:space="preserve"> suspension was conducted and ensured that the total volume per tube reached 1000 μl. The tubes were then incubated anaerobically for 48 hours at 36.5</w:t>
      </w:r>
      <w:r w:rsidR="00C40193">
        <w:rPr>
          <w:rFonts w:ascii="Palatino Linotype" w:hAnsi="Palatino Linotype"/>
        </w:rPr>
        <w:t xml:space="preserve"> </w:t>
      </w:r>
      <w:r w:rsidRPr="00495D17">
        <w:rPr>
          <w:rFonts w:ascii="Palatino Linotype" w:hAnsi="Palatino Linotype"/>
        </w:rPr>
        <w:t>C. Then, bacterial growth (turbidity) was assessed visually using a spectrophotometer (EMC LAB, Germany, v-1100 DIGITAL SPECTROPHOTOMETER) at 620 nm</w:t>
      </w:r>
      <w:r w:rsidR="008129B6">
        <w:rPr>
          <w:rFonts w:ascii="Palatino Linotype" w:hAnsi="Palatino Linotype"/>
        </w:rPr>
        <w:t xml:space="preserve"> </w:t>
      </w:r>
      <w:r w:rsidR="008129B6" w:rsidRPr="00495D17">
        <w:rPr>
          <w:rFonts w:ascii="Palatino Linotype" w:hAnsi="Palatino Linotype"/>
        </w:rPr>
        <w:t>optical density</w:t>
      </w:r>
      <w:r w:rsidRPr="00495D17">
        <w:rPr>
          <w:rFonts w:ascii="Palatino Linotype" w:hAnsi="Palatino Linotype"/>
        </w:rPr>
        <w:t xml:space="preserve">. The MIC was </w:t>
      </w:r>
      <w:r w:rsidR="008129B6">
        <w:rPr>
          <w:rFonts w:ascii="Palatino Linotype" w:hAnsi="Palatino Linotype"/>
        </w:rPr>
        <w:t>defined</w:t>
      </w:r>
      <w:r w:rsidRPr="00495D17">
        <w:rPr>
          <w:rFonts w:ascii="Palatino Linotype" w:hAnsi="Palatino Linotype"/>
        </w:rPr>
        <w:t xml:space="preserve"> as the lowest concentration of the extract showing no turbidity. For result validation, all antimicrobial evaluations of were conducted in triplicate at three different instances. Following MIC determination, 50</w:t>
      </w:r>
      <w:r w:rsidR="00C40193">
        <w:rPr>
          <w:rFonts w:ascii="Palatino Linotype" w:hAnsi="Palatino Linotype"/>
        </w:rPr>
        <w:t xml:space="preserve"> </w:t>
      </w:r>
      <w:r w:rsidR="00C40193" w:rsidRPr="00495D17">
        <w:rPr>
          <w:rFonts w:ascii="Palatino Linotype" w:hAnsi="Palatino Linotype"/>
        </w:rPr>
        <w:t>μ</w:t>
      </w:r>
      <w:r w:rsidRPr="00495D17">
        <w:rPr>
          <w:rFonts w:ascii="Palatino Linotype" w:hAnsi="Palatino Linotype"/>
        </w:rPr>
        <w:t>l from tubes devoid of visible bacterial growth were cultured on MHA plates and incubated for 48 hours at 36.5</w:t>
      </w:r>
      <w:r w:rsidR="00C40193">
        <w:rPr>
          <w:rFonts w:ascii="Palatino Linotype" w:hAnsi="Palatino Linotype"/>
        </w:rPr>
        <w:t xml:space="preserve"> </w:t>
      </w:r>
      <w:r w:rsidRPr="00495D17">
        <w:rPr>
          <w:rFonts w:ascii="Palatino Linotype" w:hAnsi="Palatino Linotype"/>
        </w:rPr>
        <w:t xml:space="preserve">C within an anaerobic environment using an anaerobic gas pack within the anaerobic jar. </w:t>
      </w:r>
      <w:r w:rsidR="008129B6">
        <w:rPr>
          <w:rFonts w:ascii="Palatino Linotype" w:hAnsi="Palatino Linotype"/>
        </w:rPr>
        <w:t xml:space="preserve">For </w:t>
      </w:r>
      <w:r w:rsidR="00306DBB" w:rsidRPr="00495D17">
        <w:rPr>
          <w:rFonts w:ascii="Palatino Linotype" w:hAnsi="Palatino Linotype"/>
        </w:rPr>
        <w:t xml:space="preserve">minimum bactericidal concentration  </w:t>
      </w:r>
      <w:r w:rsidR="00306DBB">
        <w:rPr>
          <w:rFonts w:ascii="Palatino Linotype" w:hAnsi="Palatino Linotype"/>
        </w:rPr>
        <w:t>(</w:t>
      </w:r>
      <w:r w:rsidR="008129B6">
        <w:rPr>
          <w:rFonts w:ascii="Palatino Linotype" w:hAnsi="Palatino Linotype"/>
        </w:rPr>
        <w:t>MBC</w:t>
      </w:r>
      <w:r w:rsidR="00306DBB">
        <w:rPr>
          <w:rFonts w:ascii="Palatino Linotype" w:hAnsi="Palatino Linotype"/>
        </w:rPr>
        <w:t>)</w:t>
      </w:r>
      <w:r w:rsidR="008129B6">
        <w:rPr>
          <w:rFonts w:ascii="Palatino Linotype" w:hAnsi="Palatino Linotype"/>
        </w:rPr>
        <w:t xml:space="preserve"> value, it</w:t>
      </w:r>
      <w:r w:rsidRPr="00495D17">
        <w:rPr>
          <w:rFonts w:ascii="Palatino Linotype" w:hAnsi="Palatino Linotype"/>
        </w:rPr>
        <w:t xml:space="preserve"> was computed as the lowest dosage of ethanolic leaves extract at which either fewer than three colonies or no growth were observed. This outcome indicated a bactericidal activity ranging from 99 to 99.5%, signifying a substantial level of bacterial elimination</w:t>
      </w:r>
      <w:r w:rsidR="00E92474">
        <w:rPr>
          <w:rFonts w:ascii="Palatino Linotype" w:hAnsi="Palatino Linotype"/>
        </w:rPr>
        <w:t xml:space="preserve"> </w:t>
      </w:r>
      <w:r w:rsidRPr="003F0587">
        <w:rPr>
          <w:rFonts w:ascii="Palatino Linotype" w:hAnsi="Palatino Linotype"/>
          <w:vertAlign w:val="superscript"/>
        </w:rPr>
        <w:t>(</w:t>
      </w:r>
      <w:r w:rsidR="00895F14">
        <w:rPr>
          <w:rFonts w:ascii="Palatino Linotype" w:hAnsi="Palatino Linotype"/>
          <w:vertAlign w:val="superscript"/>
        </w:rPr>
        <w:t>2</w:t>
      </w:r>
      <w:r w:rsidR="00014CE4">
        <w:rPr>
          <w:rFonts w:ascii="Palatino Linotype" w:hAnsi="Palatino Linotype"/>
          <w:vertAlign w:val="superscript"/>
        </w:rPr>
        <w:t>4</w:t>
      </w:r>
      <w:r w:rsidRPr="003F0587">
        <w:rPr>
          <w:rFonts w:ascii="Palatino Linotype" w:hAnsi="Palatino Linotype"/>
          <w:vertAlign w:val="superscript"/>
        </w:rPr>
        <w:t>)</w:t>
      </w:r>
      <w:r w:rsidRPr="00495D17">
        <w:rPr>
          <w:rFonts w:ascii="Palatino Linotype" w:hAnsi="Palatino Linotype"/>
        </w:rPr>
        <w:t>.</w:t>
      </w:r>
    </w:p>
    <w:p w14:paraId="0EF8E43E" w14:textId="3792C734" w:rsidR="00AC5846" w:rsidRDefault="00AC5846" w:rsidP="006D3EBC">
      <w:pPr>
        <w:pStyle w:val="MsoFootnoteText0"/>
        <w:spacing w:before="240" w:after="60" w:line="276" w:lineRule="auto"/>
        <w:ind w:right="543" w:firstLine="0"/>
        <w:rPr>
          <w:rFonts w:ascii="Palatino Linotype" w:hAnsi="Palatino Linotype"/>
        </w:rPr>
      </w:pPr>
      <w:bookmarkStart w:id="7" w:name="_Hlk210996390"/>
      <w:r w:rsidRPr="00AC5846">
        <w:rPr>
          <w:rFonts w:ascii="Palatino Linotype" w:hAnsi="Palatino Linotype"/>
        </w:rPr>
        <w:t xml:space="preserve">Anti-Biofilm Assay of Moringa oleifera </w:t>
      </w:r>
      <w:r>
        <w:rPr>
          <w:rFonts w:ascii="Palatino Linotype" w:hAnsi="Palatino Linotype"/>
        </w:rPr>
        <w:t>Leaf</w:t>
      </w:r>
      <w:r w:rsidRPr="00AC5846">
        <w:rPr>
          <w:rFonts w:ascii="Palatino Linotype" w:hAnsi="Palatino Linotype"/>
        </w:rPr>
        <w:t xml:space="preserve"> </w:t>
      </w:r>
      <w:r>
        <w:rPr>
          <w:rFonts w:ascii="Palatino Linotype" w:hAnsi="Palatino Linotype"/>
        </w:rPr>
        <w:t xml:space="preserve">ethanolic </w:t>
      </w:r>
      <w:r w:rsidRPr="00AC5846">
        <w:rPr>
          <w:rFonts w:ascii="Palatino Linotype" w:hAnsi="Palatino Linotype"/>
        </w:rPr>
        <w:t xml:space="preserve">Extract </w:t>
      </w:r>
    </w:p>
    <w:bookmarkEnd w:id="7"/>
    <w:p w14:paraId="6015B1B7" w14:textId="5F50D7A8" w:rsidR="00AC5846" w:rsidRDefault="00AC5846" w:rsidP="006D3EBC">
      <w:pPr>
        <w:pStyle w:val="MsoFootnoteText0"/>
        <w:spacing w:before="240" w:after="60" w:line="276" w:lineRule="auto"/>
        <w:ind w:right="543" w:firstLine="0"/>
        <w:rPr>
          <w:rFonts w:ascii="Palatino Linotype" w:hAnsi="Palatino Linotype"/>
        </w:rPr>
      </w:pPr>
      <w:r w:rsidRPr="00AC5846">
        <w:rPr>
          <w:rFonts w:ascii="Palatino Linotype" w:hAnsi="Palatino Linotype"/>
        </w:rPr>
        <w:t xml:space="preserve">The </w:t>
      </w:r>
      <w:r w:rsidR="008129B6">
        <w:rPr>
          <w:rFonts w:ascii="Palatino Linotype" w:hAnsi="Palatino Linotype"/>
        </w:rPr>
        <w:t xml:space="preserve">extract’s </w:t>
      </w:r>
      <w:r w:rsidRPr="00AC5846">
        <w:rPr>
          <w:rFonts w:ascii="Palatino Linotype" w:hAnsi="Palatino Linotype"/>
        </w:rPr>
        <w:t xml:space="preserve">anti-biofilm </w:t>
      </w:r>
      <w:r>
        <w:rPr>
          <w:rFonts w:ascii="Palatino Linotype" w:hAnsi="Palatino Linotype"/>
        </w:rPr>
        <w:t>effect</w:t>
      </w:r>
      <w:r w:rsidRPr="00AC5846">
        <w:rPr>
          <w:rFonts w:ascii="Palatino Linotype" w:hAnsi="Palatino Linotype"/>
        </w:rPr>
        <w:t xml:space="preserve"> was </w:t>
      </w:r>
      <w:r>
        <w:rPr>
          <w:rFonts w:ascii="Palatino Linotype" w:hAnsi="Palatino Linotype"/>
        </w:rPr>
        <w:t>detected</w:t>
      </w:r>
      <w:r w:rsidRPr="00AC5846">
        <w:rPr>
          <w:rFonts w:ascii="Palatino Linotype" w:hAnsi="Palatino Linotype"/>
        </w:rPr>
        <w:t xml:space="preserve"> using the tube adhesion method</w:t>
      </w:r>
      <w:r w:rsidR="001B5767">
        <w:rPr>
          <w:rFonts w:ascii="Palatino Linotype" w:hAnsi="Palatino Linotype"/>
        </w:rPr>
        <w:t xml:space="preserve"> </w:t>
      </w:r>
      <w:r w:rsidRPr="001B5767">
        <w:rPr>
          <w:rFonts w:ascii="Palatino Linotype" w:hAnsi="Palatino Linotype"/>
          <w:vertAlign w:val="superscript"/>
        </w:rPr>
        <w:t>(</w:t>
      </w:r>
      <w:r w:rsidR="00E03640">
        <w:rPr>
          <w:rFonts w:ascii="Palatino Linotype" w:hAnsi="Palatino Linotype"/>
          <w:vertAlign w:val="superscript"/>
        </w:rPr>
        <w:t>2</w:t>
      </w:r>
      <w:r w:rsidR="00014CE4">
        <w:rPr>
          <w:rFonts w:ascii="Palatino Linotype" w:hAnsi="Palatino Linotype"/>
          <w:vertAlign w:val="superscript"/>
        </w:rPr>
        <w:t>5</w:t>
      </w:r>
      <w:r w:rsidRPr="001B5767">
        <w:rPr>
          <w:rFonts w:ascii="Palatino Linotype" w:hAnsi="Palatino Linotype"/>
          <w:vertAlign w:val="superscript"/>
        </w:rPr>
        <w:t>)</w:t>
      </w:r>
      <w:r w:rsidRPr="001B5767">
        <w:rPr>
          <w:rFonts w:ascii="Palatino Linotype" w:hAnsi="Palatino Linotype"/>
        </w:rPr>
        <w:t>.</w:t>
      </w:r>
      <w:r w:rsidRPr="00AC5846">
        <w:rPr>
          <w:rFonts w:ascii="Palatino Linotype" w:hAnsi="Palatino Linotype"/>
        </w:rPr>
        <w:t xml:space="preserve"> The serial dilutions </w:t>
      </w:r>
      <w:r w:rsidR="00E1193C">
        <w:rPr>
          <w:rFonts w:ascii="Palatino Linotype" w:hAnsi="Palatino Linotype"/>
        </w:rPr>
        <w:t xml:space="preserve">of the test </w:t>
      </w:r>
      <w:r w:rsidRPr="00AC5846">
        <w:rPr>
          <w:rFonts w:ascii="Palatino Linotype" w:hAnsi="Palatino Linotype"/>
        </w:rPr>
        <w:t>tubes</w:t>
      </w:r>
      <w:r w:rsidR="00E1193C">
        <w:rPr>
          <w:rFonts w:ascii="Palatino Linotype" w:hAnsi="Palatino Linotype"/>
        </w:rPr>
        <w:t xml:space="preserve"> </w:t>
      </w:r>
      <w:r>
        <w:rPr>
          <w:rFonts w:ascii="Palatino Linotype" w:hAnsi="Palatino Linotype"/>
        </w:rPr>
        <w:t>were poured and</w:t>
      </w:r>
      <w:r w:rsidRPr="00AC5846">
        <w:rPr>
          <w:rFonts w:ascii="Palatino Linotype" w:hAnsi="Palatino Linotype"/>
        </w:rPr>
        <w:t xml:space="preserve"> rinsed</w:t>
      </w:r>
      <w:r>
        <w:rPr>
          <w:rFonts w:ascii="Palatino Linotype" w:hAnsi="Palatino Linotype"/>
        </w:rPr>
        <w:t xml:space="preserve"> for 1 min</w:t>
      </w:r>
      <w:r w:rsidRPr="00AC5846">
        <w:rPr>
          <w:rFonts w:ascii="Palatino Linotype" w:hAnsi="Palatino Linotype"/>
        </w:rPr>
        <w:t xml:space="preserve"> with phosphate-buffered solution </w:t>
      </w:r>
      <w:r>
        <w:rPr>
          <w:rFonts w:ascii="Palatino Linotype" w:hAnsi="Palatino Linotype"/>
        </w:rPr>
        <w:t xml:space="preserve">at </w:t>
      </w:r>
      <w:r w:rsidRPr="00AC5846">
        <w:rPr>
          <w:rFonts w:ascii="Palatino Linotype" w:hAnsi="Palatino Linotype"/>
        </w:rPr>
        <w:t xml:space="preserve">pH 7.3, and left to dry. </w:t>
      </w:r>
      <w:r>
        <w:rPr>
          <w:rFonts w:ascii="Palatino Linotype" w:hAnsi="Palatino Linotype"/>
        </w:rPr>
        <w:t xml:space="preserve">Staining </w:t>
      </w:r>
      <w:r w:rsidRPr="00AC5846">
        <w:rPr>
          <w:rFonts w:ascii="Palatino Linotype" w:hAnsi="Palatino Linotype"/>
        </w:rPr>
        <w:t>with 0.1% crystal violet</w:t>
      </w:r>
      <w:r w:rsidR="00E1193C">
        <w:rPr>
          <w:rFonts w:ascii="Palatino Linotype" w:hAnsi="Palatino Linotype"/>
        </w:rPr>
        <w:t xml:space="preserve"> were conducted with all tubes</w:t>
      </w:r>
      <w:r w:rsidRPr="00AC5846">
        <w:rPr>
          <w:rFonts w:ascii="Palatino Linotype" w:hAnsi="Palatino Linotype"/>
        </w:rPr>
        <w:t xml:space="preserve"> for 1 min and rins</w:t>
      </w:r>
      <w:r>
        <w:rPr>
          <w:rFonts w:ascii="Palatino Linotype" w:hAnsi="Palatino Linotype"/>
        </w:rPr>
        <w:t>ing</w:t>
      </w:r>
      <w:r w:rsidRPr="00AC5846">
        <w:rPr>
          <w:rFonts w:ascii="Palatino Linotype" w:hAnsi="Palatino Linotype"/>
        </w:rPr>
        <w:t xml:space="preserve"> </w:t>
      </w:r>
      <w:r>
        <w:rPr>
          <w:rFonts w:ascii="Palatino Linotype" w:hAnsi="Palatino Linotype"/>
        </w:rPr>
        <w:t>with</w:t>
      </w:r>
      <w:r w:rsidRPr="00AC5846">
        <w:rPr>
          <w:rFonts w:ascii="Palatino Linotype" w:hAnsi="Palatino Linotype"/>
        </w:rPr>
        <w:t xml:space="preserve"> </w:t>
      </w:r>
      <w:r>
        <w:rPr>
          <w:rFonts w:ascii="Palatino Linotype" w:hAnsi="Palatino Linotype"/>
        </w:rPr>
        <w:t xml:space="preserve">distilled water </w:t>
      </w:r>
      <w:r w:rsidRPr="00AC5846">
        <w:rPr>
          <w:rFonts w:ascii="Palatino Linotype" w:hAnsi="Palatino Linotype"/>
        </w:rPr>
        <w:t xml:space="preserve">to remove </w:t>
      </w:r>
      <w:r>
        <w:rPr>
          <w:rFonts w:ascii="Palatino Linotype" w:hAnsi="Palatino Linotype"/>
        </w:rPr>
        <w:t>the</w:t>
      </w:r>
      <w:r w:rsidRPr="00AC5846">
        <w:rPr>
          <w:rFonts w:ascii="Palatino Linotype" w:hAnsi="Palatino Linotype"/>
        </w:rPr>
        <w:t xml:space="preserve"> remaining stain. </w:t>
      </w:r>
      <w:r w:rsidR="00E1193C">
        <w:rPr>
          <w:rFonts w:ascii="Palatino Linotype" w:hAnsi="Palatino Linotype"/>
        </w:rPr>
        <w:t>All</w:t>
      </w:r>
      <w:r w:rsidRPr="00AC5846">
        <w:rPr>
          <w:rFonts w:ascii="Palatino Linotype" w:hAnsi="Palatino Linotype"/>
        </w:rPr>
        <w:t xml:space="preserve"> tubes were then </w:t>
      </w:r>
      <w:r w:rsidR="00E1193C">
        <w:rPr>
          <w:rFonts w:ascii="Palatino Linotype" w:hAnsi="Palatino Linotype"/>
        </w:rPr>
        <w:t>kept</w:t>
      </w:r>
      <w:r w:rsidRPr="00AC5846">
        <w:rPr>
          <w:rFonts w:ascii="Palatino Linotype" w:hAnsi="Palatino Linotype"/>
        </w:rPr>
        <w:t xml:space="preserve"> </w:t>
      </w:r>
      <w:r w:rsidR="00E1193C">
        <w:rPr>
          <w:rFonts w:ascii="Palatino Linotype" w:hAnsi="Palatino Linotype"/>
        </w:rPr>
        <w:t>for dryness</w:t>
      </w:r>
      <w:r w:rsidRPr="00AC5846">
        <w:rPr>
          <w:rFonts w:ascii="Palatino Linotype" w:hAnsi="Palatino Linotype"/>
        </w:rPr>
        <w:t xml:space="preserve"> </w:t>
      </w:r>
      <w:r w:rsidR="00E1193C">
        <w:rPr>
          <w:rFonts w:ascii="Palatino Linotype" w:hAnsi="Palatino Linotype"/>
        </w:rPr>
        <w:t xml:space="preserve">in </w:t>
      </w:r>
      <w:r w:rsidRPr="00AC5846">
        <w:rPr>
          <w:rFonts w:ascii="Palatino Linotype" w:hAnsi="Palatino Linotype"/>
        </w:rPr>
        <w:t xml:space="preserve">upside down </w:t>
      </w:r>
      <w:r w:rsidR="00E1193C">
        <w:rPr>
          <w:rFonts w:ascii="Palatino Linotype" w:hAnsi="Palatino Linotype"/>
        </w:rPr>
        <w:t xml:space="preserve">position </w:t>
      </w:r>
      <w:r w:rsidRPr="00AC5846">
        <w:rPr>
          <w:rFonts w:ascii="Palatino Linotype" w:hAnsi="Palatino Linotype"/>
        </w:rPr>
        <w:t xml:space="preserve">for 24 h. </w:t>
      </w:r>
      <w:r w:rsidR="00E1193C">
        <w:rPr>
          <w:rFonts w:ascii="Palatino Linotype" w:hAnsi="Palatino Linotype"/>
        </w:rPr>
        <w:t xml:space="preserve">The biofilm formation was viewed </w:t>
      </w:r>
      <w:r w:rsidR="00E1193C" w:rsidRPr="00AC5846">
        <w:rPr>
          <w:rFonts w:ascii="Palatino Linotype" w:hAnsi="Palatino Linotype"/>
        </w:rPr>
        <w:t>visual</w:t>
      </w:r>
      <w:r w:rsidR="00E1193C">
        <w:rPr>
          <w:rFonts w:ascii="Palatino Linotype" w:hAnsi="Palatino Linotype"/>
        </w:rPr>
        <w:t>ly</w:t>
      </w:r>
      <w:r w:rsidR="00E1193C" w:rsidRPr="00AC5846">
        <w:rPr>
          <w:rFonts w:ascii="Palatino Linotype" w:hAnsi="Palatino Linotype"/>
        </w:rPr>
        <w:t xml:space="preserve"> </w:t>
      </w:r>
      <w:r w:rsidR="00E1193C">
        <w:rPr>
          <w:rFonts w:ascii="Palatino Linotype" w:hAnsi="Palatino Linotype"/>
        </w:rPr>
        <w:t>as positive w</w:t>
      </w:r>
      <w:r w:rsidRPr="00AC5846">
        <w:rPr>
          <w:rFonts w:ascii="Palatino Linotype" w:hAnsi="Palatino Linotype"/>
        </w:rPr>
        <w:t xml:space="preserve">hen </w:t>
      </w:r>
      <w:r w:rsidR="008129B6">
        <w:rPr>
          <w:rFonts w:ascii="Palatino Linotype" w:hAnsi="Palatino Linotype"/>
        </w:rPr>
        <w:t>an observable</w:t>
      </w:r>
      <w:r w:rsidRPr="00AC5846">
        <w:rPr>
          <w:rFonts w:ascii="Palatino Linotype" w:hAnsi="Palatino Linotype"/>
        </w:rPr>
        <w:t xml:space="preserve"> stain </w:t>
      </w:r>
      <w:r w:rsidR="00E1193C">
        <w:rPr>
          <w:rFonts w:ascii="Palatino Linotype" w:hAnsi="Palatino Linotype"/>
        </w:rPr>
        <w:t xml:space="preserve">was </w:t>
      </w:r>
      <w:r w:rsidRPr="00AC5846">
        <w:rPr>
          <w:rFonts w:ascii="Palatino Linotype" w:hAnsi="Palatino Linotype"/>
        </w:rPr>
        <w:t>lined the tube's wall and bottom</w:t>
      </w:r>
      <w:r w:rsidR="00E1193C">
        <w:rPr>
          <w:rFonts w:ascii="Palatino Linotype" w:hAnsi="Palatino Linotype"/>
        </w:rPr>
        <w:t>. This stain</w:t>
      </w:r>
      <w:r w:rsidRPr="00AC5846">
        <w:rPr>
          <w:rFonts w:ascii="Palatino Linotype" w:hAnsi="Palatino Linotype"/>
        </w:rPr>
        <w:t xml:space="preserve"> was graded as none or weak</w:t>
      </w:r>
      <w:r w:rsidR="00E1193C">
        <w:rPr>
          <w:rFonts w:ascii="Palatino Linotype" w:hAnsi="Palatino Linotype"/>
        </w:rPr>
        <w:t xml:space="preserve"> (score=1 with strong anti-biofilm activity)</w:t>
      </w:r>
      <w:r w:rsidRPr="00AC5846">
        <w:rPr>
          <w:rFonts w:ascii="Palatino Linotype" w:hAnsi="Palatino Linotype"/>
        </w:rPr>
        <w:t>, moderate</w:t>
      </w:r>
      <w:r w:rsidR="00E1193C">
        <w:rPr>
          <w:rFonts w:ascii="Palatino Linotype" w:hAnsi="Palatino Linotype"/>
        </w:rPr>
        <w:t xml:space="preserve"> (score=2 with moderate anti-biofilm activity)</w:t>
      </w:r>
      <w:r w:rsidRPr="00AC5846">
        <w:rPr>
          <w:rFonts w:ascii="Palatino Linotype" w:hAnsi="Palatino Linotype"/>
        </w:rPr>
        <w:t>, and strong</w:t>
      </w:r>
      <w:r w:rsidR="00E1193C">
        <w:rPr>
          <w:rFonts w:ascii="Palatino Linotype" w:hAnsi="Palatino Linotype"/>
        </w:rPr>
        <w:t xml:space="preserve"> (score=3 with weak anti-biofilm </w:t>
      </w:r>
      <w:r w:rsidR="00E1193C">
        <w:rPr>
          <w:rFonts w:ascii="Palatino Linotype" w:hAnsi="Palatino Linotype"/>
        </w:rPr>
        <w:lastRenderedPageBreak/>
        <w:t>activity )</w:t>
      </w:r>
      <w:r w:rsidRPr="00AC5846">
        <w:rPr>
          <w:rFonts w:ascii="Palatino Linotype" w:hAnsi="Palatino Linotype"/>
        </w:rPr>
        <w:t xml:space="preserve">. </w:t>
      </w:r>
      <w:r w:rsidR="00E1193C">
        <w:rPr>
          <w:rFonts w:ascii="Palatino Linotype" w:hAnsi="Palatino Linotype"/>
        </w:rPr>
        <w:t>All meaurments were conducted with</w:t>
      </w:r>
      <w:r w:rsidRPr="00AC5846">
        <w:rPr>
          <w:rFonts w:ascii="Palatino Linotype" w:hAnsi="Palatino Linotype"/>
        </w:rPr>
        <w:t xml:space="preserve"> inter-examiner </w:t>
      </w:r>
      <w:r w:rsidR="008C3385">
        <w:rPr>
          <w:rFonts w:ascii="Palatino Linotype" w:hAnsi="Palatino Linotype"/>
        </w:rPr>
        <w:t>callibartion</w:t>
      </w:r>
      <w:r w:rsidRPr="00AC5846">
        <w:rPr>
          <w:rFonts w:ascii="Palatino Linotype" w:hAnsi="Palatino Linotype"/>
        </w:rPr>
        <w:t xml:space="preserve"> at </w:t>
      </w:r>
      <w:r w:rsidR="008129B6">
        <w:rPr>
          <w:rFonts w:ascii="Palatino Linotype" w:hAnsi="Palatino Linotype"/>
        </w:rPr>
        <w:t>three</w:t>
      </w:r>
      <w:r w:rsidRPr="00AC5846">
        <w:rPr>
          <w:rFonts w:ascii="Palatino Linotype" w:hAnsi="Palatino Linotype"/>
        </w:rPr>
        <w:t xml:space="preserve"> different times in triplicate.</w:t>
      </w:r>
    </w:p>
    <w:p w14:paraId="793208B1" w14:textId="7B6D30B7" w:rsidR="00264F4D" w:rsidRPr="00FE7BF6" w:rsidRDefault="00730E6C" w:rsidP="006D3EBC">
      <w:pPr>
        <w:pStyle w:val="MsoFootnoteText0"/>
        <w:spacing w:before="240" w:after="60" w:line="276" w:lineRule="auto"/>
        <w:ind w:right="543" w:firstLine="0"/>
        <w:rPr>
          <w:rFonts w:ascii="Palatino Linotype" w:hAnsi="Palatino Linotype"/>
        </w:rPr>
      </w:pPr>
      <w:bookmarkStart w:id="8" w:name="_Hlk211000584"/>
      <w:r w:rsidRPr="00FE7BF6">
        <w:rPr>
          <w:rFonts w:ascii="Palatino Linotype" w:hAnsi="Palatino Linotype"/>
        </w:rPr>
        <w:t>Statistical analysis</w:t>
      </w:r>
    </w:p>
    <w:bookmarkEnd w:id="8"/>
    <w:p w14:paraId="0F683CB1" w14:textId="3BA1C463" w:rsidR="00B03755" w:rsidRPr="006C3BDF" w:rsidRDefault="009F5A35" w:rsidP="006D3EBC">
      <w:pPr>
        <w:pStyle w:val="Body"/>
        <w:spacing w:before="240" w:after="60" w:line="276" w:lineRule="auto"/>
        <w:ind w:right="543" w:firstLine="0"/>
        <w:rPr>
          <w:rFonts w:eastAsiaTheme="minorEastAsia"/>
          <w:lang w:eastAsia="ja-JP"/>
        </w:rPr>
      </w:pPr>
      <w:r w:rsidRPr="009F5A35">
        <w:t>The antimicrobial sensitivity test results were initially assessed at a 5% significance level utilizing the Kruskal-</w:t>
      </w:r>
      <w:r w:rsidR="00DC340C" w:rsidRPr="009F5A35">
        <w:t>Wallis</w:t>
      </w:r>
      <w:r w:rsidRPr="009F5A35">
        <w:t xml:space="preserve"> test. Subsequently, at a significance level of 0.05, the Mann-Whitney U test was employed to assess differences between the groups.</w:t>
      </w:r>
      <w:r w:rsidR="006C3BDF">
        <w:rPr>
          <w:rFonts w:eastAsiaTheme="minorEastAsia" w:hint="eastAsia"/>
          <w:lang w:eastAsia="ja-JP"/>
        </w:rPr>
        <w:t xml:space="preserve"> </w:t>
      </w:r>
      <w:r w:rsidR="00FC0D89">
        <w:rPr>
          <w:rFonts w:eastAsiaTheme="minorEastAsia"/>
          <w:lang w:eastAsia="ja-JP"/>
        </w:rPr>
        <w:t>All</w:t>
      </w:r>
      <w:r w:rsidR="006C3BDF">
        <w:rPr>
          <w:rFonts w:eastAsiaTheme="minorEastAsia" w:hint="eastAsia"/>
          <w:lang w:eastAsia="ja-JP"/>
        </w:rPr>
        <w:t xml:space="preserve"> these tests were conducted following checking the </w:t>
      </w:r>
      <w:r w:rsidR="006C3BDF">
        <w:rPr>
          <w:rFonts w:eastAsiaTheme="minorEastAsia"/>
          <w:lang w:eastAsia="ja-JP"/>
        </w:rPr>
        <w:t>normality</w:t>
      </w:r>
      <w:r w:rsidR="006C3BDF">
        <w:rPr>
          <w:rFonts w:eastAsiaTheme="minorEastAsia" w:hint="eastAsia"/>
          <w:lang w:eastAsia="ja-JP"/>
        </w:rPr>
        <w:t xml:space="preserve"> of the sample </w:t>
      </w:r>
      <w:r w:rsidR="006C3BDF">
        <w:rPr>
          <w:rFonts w:eastAsiaTheme="minorEastAsia"/>
          <w:lang w:eastAsia="ja-JP"/>
        </w:rPr>
        <w:t>using Shapiro</w:t>
      </w:r>
      <w:r w:rsidR="006C3BDF" w:rsidRPr="006C3BDF">
        <w:rPr>
          <w:rFonts w:eastAsiaTheme="minorEastAsia"/>
          <w:lang w:eastAsia="ja-JP"/>
        </w:rPr>
        <w:t>-Wilk test</w:t>
      </w:r>
      <w:r w:rsidR="006C3BDF">
        <w:rPr>
          <w:rFonts w:eastAsiaTheme="minorEastAsia" w:hint="eastAsia"/>
          <w:lang w:eastAsia="ja-JP"/>
        </w:rPr>
        <w:t xml:space="preserve">. </w:t>
      </w:r>
      <w:r w:rsidR="006C3BDF" w:rsidRPr="006C3BDF">
        <w:rPr>
          <w:rFonts w:eastAsiaTheme="minorEastAsia"/>
          <w:lang w:eastAsia="ja-JP"/>
        </w:rPr>
        <w:t>GraphPad Prism </w:t>
      </w:r>
      <w:r w:rsidR="006C3BDF">
        <w:rPr>
          <w:rFonts w:eastAsiaTheme="minorEastAsia" w:hint="eastAsia"/>
          <w:lang w:eastAsia="ja-JP"/>
        </w:rPr>
        <w:t>10.5.0</w:t>
      </w:r>
      <w:r w:rsidR="00E0390E">
        <w:rPr>
          <w:rFonts w:eastAsiaTheme="minorEastAsia" w:hint="eastAsia"/>
          <w:lang w:eastAsia="ja-JP"/>
        </w:rPr>
        <w:t xml:space="preserve"> software was used for statistical analysis </w:t>
      </w:r>
      <w:r w:rsidR="00E0390E">
        <w:rPr>
          <w:rFonts w:eastAsiaTheme="minorEastAsia"/>
          <w:lang w:eastAsia="ja-JP"/>
        </w:rPr>
        <w:t>of</w:t>
      </w:r>
      <w:r w:rsidR="00E0390E">
        <w:rPr>
          <w:rFonts w:eastAsiaTheme="minorEastAsia" w:hint="eastAsia"/>
          <w:lang w:eastAsia="ja-JP"/>
        </w:rPr>
        <w:t xml:space="preserve"> all presented </w:t>
      </w:r>
      <w:r w:rsidR="00AE7FDA">
        <w:rPr>
          <w:rFonts w:eastAsiaTheme="minorEastAsia"/>
          <w:lang w:eastAsia="ja-JP"/>
        </w:rPr>
        <w:t>data</w:t>
      </w:r>
    </w:p>
    <w:p w14:paraId="1655246A" w14:textId="244B92BC" w:rsidR="00DC340C" w:rsidRDefault="00CC3469" w:rsidP="00A94DA8">
      <w:pPr>
        <w:pStyle w:val="Body"/>
        <w:spacing w:before="240" w:after="60" w:line="276" w:lineRule="auto"/>
        <w:ind w:right="543" w:firstLine="0"/>
        <w:rPr>
          <w:rtl/>
        </w:rPr>
      </w:pPr>
      <w:r w:rsidRPr="00FE7BF6">
        <w:rPr>
          <w:b/>
          <w:bCs/>
        </w:rPr>
        <w:t>Results</w:t>
      </w:r>
    </w:p>
    <w:p w14:paraId="048EEB34" w14:textId="15E938BD" w:rsidR="00CC3469" w:rsidRPr="004F231B" w:rsidRDefault="00DC340C" w:rsidP="00A94DA8">
      <w:pPr>
        <w:pStyle w:val="Body"/>
        <w:spacing w:before="240" w:after="60" w:line="276" w:lineRule="auto"/>
        <w:ind w:left="0" w:right="543" w:firstLine="720"/>
      </w:pPr>
      <w:r w:rsidRPr="004F231B">
        <w:rPr>
          <w:i/>
          <w:iCs/>
        </w:rPr>
        <w:t>P</w:t>
      </w:r>
      <w:r w:rsidR="00810847">
        <w:rPr>
          <w:i/>
          <w:iCs/>
        </w:rPr>
        <w:t>orphyromonas</w:t>
      </w:r>
      <w:r w:rsidRPr="004F231B">
        <w:rPr>
          <w:i/>
          <w:iCs/>
        </w:rPr>
        <w:t xml:space="preserve">. gingivalis </w:t>
      </w:r>
      <w:r w:rsidRPr="004F231B">
        <w:t>Verification</w:t>
      </w:r>
    </w:p>
    <w:p w14:paraId="63EE7707" w14:textId="6A8241D2" w:rsidR="00DC340C" w:rsidRDefault="003920BF" w:rsidP="00A94DA8">
      <w:pPr>
        <w:spacing w:before="240" w:after="60" w:line="276" w:lineRule="auto"/>
        <w:ind w:left="720" w:right="543"/>
        <w:jc w:val="both"/>
        <w:rPr>
          <w:rFonts w:ascii="Palatino Linotype" w:eastAsia="Palatino Linotype" w:hAnsi="Palatino Linotype" w:cs="Palatino Linotype"/>
          <w:color w:val="000000"/>
          <w:sz w:val="20"/>
          <w:szCs w:val="20"/>
          <w:u w:color="000000"/>
          <w:bdr w:val="nil"/>
          <w:rtl/>
          <w14:textOutline w14:w="0" w14:cap="flat" w14:cmpd="sng" w14:algn="ctr">
            <w14:noFill/>
            <w14:prstDash w14:val="solid"/>
            <w14:bevel/>
          </w14:textOutline>
        </w:rPr>
      </w:pPr>
      <w:r>
        <w:rPr>
          <w:noProof/>
        </w:rPr>
        <w:drawing>
          <wp:anchor distT="0" distB="0" distL="114300" distR="114300" simplePos="0" relativeHeight="251661312" behindDoc="1" locked="0" layoutInCell="1" allowOverlap="1" wp14:anchorId="77B2FFB1" wp14:editId="08E4F55B">
            <wp:simplePos x="0" y="0"/>
            <wp:positionH relativeFrom="column">
              <wp:posOffset>3145155</wp:posOffset>
            </wp:positionH>
            <wp:positionV relativeFrom="paragraph">
              <wp:posOffset>1126490</wp:posOffset>
            </wp:positionV>
            <wp:extent cx="3235960" cy="4013835"/>
            <wp:effectExtent l="0" t="0" r="2540" b="5715"/>
            <wp:wrapTight wrapText="bothSides">
              <wp:wrapPolygon edited="0">
                <wp:start x="0" y="0"/>
                <wp:lineTo x="0" y="21528"/>
                <wp:lineTo x="21490" y="21528"/>
                <wp:lineTo x="21490" y="0"/>
                <wp:lineTo x="0" y="0"/>
              </wp:wrapPolygon>
            </wp:wrapTight>
            <wp:docPr id="1205437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5960" cy="4013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340C" w:rsidRPr="00DC340C">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Black-pigmented bacterial isolates were detected in 60% (n=12) of the samples</w:t>
      </w:r>
      <w:r w:rsidR="00A50209">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xml:space="preserve"> </w:t>
      </w:r>
      <w:r w:rsidR="00A50209" w:rsidRPr="00DC340C">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examined</w:t>
      </w:r>
      <w:r w:rsidR="00DC340C" w:rsidRPr="00DC340C">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After a 48-hour incubation period, the colonies exhibited a round, small, convex growth, and an opaque appearance. Following 5-7 days on lysed blood, black-pigmented colonies became visible, as illustrated in Figure 1</w:t>
      </w:r>
      <w:r w:rsidR="002C57D2">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A</w:t>
      </w:r>
      <w:r w:rsidR="00DC340C" w:rsidRPr="00DC340C">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Following DNA sequencing, it was determined that all examined colonies bore genetic resemblance to</w:t>
      </w:r>
      <w:r w:rsidR="00FE2FA6">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xml:space="preserve">    </w:t>
      </w:r>
      <w:r w:rsidR="00306DBB">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xml:space="preserve"> </w:t>
      </w:r>
      <w:r w:rsidR="00DC340C" w:rsidRPr="00DC340C">
        <w:rPr>
          <w:rFonts w:ascii="Palatino Linotype" w:eastAsia="Palatino Linotype" w:hAnsi="Palatino Linotype" w:cs="Palatino Linotype"/>
          <w:i/>
          <w:iCs/>
          <w:color w:val="000000"/>
          <w:sz w:val="20"/>
          <w:szCs w:val="20"/>
          <w:u w:color="000000"/>
          <w:bdr w:val="nil"/>
          <w14:textOutline w14:w="0" w14:cap="flat" w14:cmpd="sng" w14:algn="ctr">
            <w14:noFill/>
            <w14:prstDash w14:val="solid"/>
            <w14:bevel/>
          </w14:textOutline>
        </w:rPr>
        <w:t>P. gingivalis</w:t>
      </w:r>
      <w:r w:rsidR="00DC340C" w:rsidRPr="00DC340C">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xml:space="preserve"> strain ATCC 33277 as shown in Figure </w:t>
      </w:r>
      <w:r w:rsidR="002C57D2">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1.B</w:t>
      </w:r>
      <w:r w:rsidR="00DC340C" w:rsidRPr="00DC340C">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w:t>
      </w:r>
    </w:p>
    <w:p w14:paraId="4A61018C" w14:textId="1B000310" w:rsidR="00DC340C" w:rsidRPr="00DC340C" w:rsidRDefault="00DC340C" w:rsidP="00B272FE">
      <w:pPr>
        <w:pStyle w:val="Body"/>
        <w:spacing w:before="240" w:after="60" w:line="240" w:lineRule="atLeast"/>
        <w:ind w:right="543" w:firstLine="720"/>
        <w:jc w:val="center"/>
        <w:rPr>
          <w:b/>
        </w:rPr>
      </w:pPr>
    </w:p>
    <w:p w14:paraId="4C51BBAB" w14:textId="4D2E9E7B" w:rsidR="00822F40" w:rsidRDefault="00822F40" w:rsidP="00971FB7">
      <w:pPr>
        <w:pStyle w:val="Body"/>
        <w:spacing w:before="240" w:line="240" w:lineRule="atLeast"/>
        <w:ind w:right="543" w:firstLine="720"/>
        <w:jc w:val="center"/>
        <w:rPr>
          <w:b/>
        </w:rPr>
      </w:pPr>
    </w:p>
    <w:p w14:paraId="781FC2BB" w14:textId="3D61EEBB" w:rsidR="00822F40" w:rsidRDefault="00822F40" w:rsidP="00971FB7">
      <w:pPr>
        <w:pStyle w:val="Body"/>
        <w:spacing w:before="240" w:line="240" w:lineRule="atLeast"/>
        <w:ind w:right="543" w:firstLine="720"/>
        <w:jc w:val="center"/>
        <w:rPr>
          <w:b/>
        </w:rPr>
      </w:pPr>
    </w:p>
    <w:p w14:paraId="77F76B05" w14:textId="1075D6B2" w:rsidR="00822F40" w:rsidRDefault="00822F40" w:rsidP="003920BF">
      <w:pPr>
        <w:pStyle w:val="Body"/>
        <w:spacing w:before="240" w:line="240" w:lineRule="atLeast"/>
        <w:ind w:left="0" w:right="543" w:firstLine="0"/>
        <w:rPr>
          <w:b/>
        </w:rPr>
      </w:pPr>
    </w:p>
    <w:p w14:paraId="1C13BBD8" w14:textId="022FD17F" w:rsidR="00971FB7" w:rsidRPr="00DC340C" w:rsidRDefault="00DC340C" w:rsidP="00822F40">
      <w:pPr>
        <w:pStyle w:val="Body"/>
        <w:spacing w:before="240" w:line="240" w:lineRule="atLeast"/>
        <w:ind w:right="543" w:hanging="11"/>
        <w:jc w:val="center"/>
        <w:rPr>
          <w:bCs/>
          <w:i/>
          <w:rtl/>
          <w:lang w:bidi="en-US"/>
        </w:rPr>
      </w:pPr>
      <w:r w:rsidRPr="00DC340C">
        <w:rPr>
          <w:b/>
        </w:rPr>
        <w:t>Figure 1</w:t>
      </w:r>
      <w:r w:rsidR="0031484A">
        <w:rPr>
          <w:b/>
        </w:rPr>
        <w:t>:</w:t>
      </w:r>
      <w:r w:rsidRPr="00DC340C">
        <w:rPr>
          <w:b/>
        </w:rPr>
        <w:t xml:space="preserve"> </w:t>
      </w:r>
      <w:r w:rsidR="00D26F43" w:rsidRPr="00331AB4">
        <w:rPr>
          <w:bCs/>
          <w:i/>
          <w:iCs/>
        </w:rPr>
        <w:t>P. gingivalis</w:t>
      </w:r>
      <w:r w:rsidR="00D26F43" w:rsidRPr="00331AB4">
        <w:rPr>
          <w:bCs/>
        </w:rPr>
        <w:t xml:space="preserve"> verification</w:t>
      </w:r>
      <w:r w:rsidR="00331AB4" w:rsidRPr="00331AB4">
        <w:rPr>
          <w:bCs/>
        </w:rPr>
        <w:t>:</w:t>
      </w:r>
      <w:r w:rsidR="00D26F43" w:rsidRPr="00331AB4">
        <w:rPr>
          <w:bCs/>
        </w:rPr>
        <w:t xml:space="preserve"> </w:t>
      </w:r>
      <w:r w:rsidR="00331AB4" w:rsidRPr="00331AB4">
        <w:rPr>
          <w:bCs/>
        </w:rPr>
        <w:t>(</w:t>
      </w:r>
      <w:r w:rsidR="00D26F43" w:rsidRPr="00331AB4">
        <w:rPr>
          <w:bCs/>
        </w:rPr>
        <w:t>A</w:t>
      </w:r>
      <w:r w:rsidR="00331AB4" w:rsidRPr="00331AB4">
        <w:rPr>
          <w:bCs/>
        </w:rPr>
        <w:t>)</w:t>
      </w:r>
      <w:r w:rsidR="00971FB7">
        <w:rPr>
          <w:bCs/>
        </w:rPr>
        <w:t xml:space="preserve"> </w:t>
      </w:r>
      <w:r w:rsidRPr="00DC340C">
        <w:t>Following a 5-7-day incubation period</w:t>
      </w:r>
      <w:r w:rsidR="00DD2E31">
        <w:t xml:space="preserve"> at </w:t>
      </w:r>
      <w:r w:rsidR="00DD2E31" w:rsidRPr="00577052">
        <w:t>36.5</w:t>
      </w:r>
      <w:r w:rsidR="00DD2E31">
        <w:t xml:space="preserve"> </w:t>
      </w:r>
      <w:r w:rsidR="00DD2E31" w:rsidRPr="00577052">
        <w:t>C in an anaerobic gas pack in an anaerobic jar</w:t>
      </w:r>
      <w:r w:rsidR="007F0B97">
        <w:t>.</w:t>
      </w:r>
      <w:r w:rsidRPr="00DC340C">
        <w:t xml:space="preserve"> </w:t>
      </w:r>
      <w:r w:rsidR="007F0B97">
        <w:t>T</w:t>
      </w:r>
      <w:r w:rsidRPr="00DC340C">
        <w:t xml:space="preserve">he colonies of </w:t>
      </w:r>
      <w:r w:rsidRPr="00DC340C">
        <w:rPr>
          <w:i/>
          <w:iCs/>
        </w:rPr>
        <w:t>P. gingivalis</w:t>
      </w:r>
      <w:r w:rsidRPr="00DC340C">
        <w:t xml:space="preserve"> exhibited a black pigment, spherical shape, and a smooth, shiny appearance.</w:t>
      </w:r>
      <w:r w:rsidR="00F22567">
        <w:t xml:space="preserve"> (B)</w:t>
      </w:r>
      <w:r w:rsidR="00971FB7">
        <w:t xml:space="preserve"> </w:t>
      </w:r>
      <w:r w:rsidR="00971FB7" w:rsidRPr="00DC340C">
        <w:rPr>
          <w:bCs/>
          <w:iCs/>
          <w:lang w:bidi="en-US"/>
        </w:rPr>
        <w:t xml:space="preserve">16s RNA </w:t>
      </w:r>
      <w:proofErr w:type="spellStart"/>
      <w:r w:rsidR="00971FB7" w:rsidRPr="00DC340C">
        <w:rPr>
          <w:bCs/>
          <w:iCs/>
          <w:lang w:bidi="en-US"/>
        </w:rPr>
        <w:t>Sequnceing</w:t>
      </w:r>
      <w:proofErr w:type="spellEnd"/>
      <w:r w:rsidR="00971FB7" w:rsidRPr="00DC340C">
        <w:rPr>
          <w:bCs/>
          <w:iCs/>
          <w:lang w:bidi="en-US"/>
        </w:rPr>
        <w:t xml:space="preserve"> graph of </w:t>
      </w:r>
      <w:r w:rsidR="00971FB7" w:rsidRPr="00DC340C">
        <w:rPr>
          <w:bCs/>
          <w:i/>
          <w:lang w:bidi="en-US"/>
        </w:rPr>
        <w:t>P. gingivalis</w:t>
      </w:r>
      <w:r w:rsidR="00971FB7">
        <w:rPr>
          <w:bCs/>
          <w:i/>
          <w:lang w:bidi="en-US"/>
        </w:rPr>
        <w:t xml:space="preserve">. </w:t>
      </w:r>
    </w:p>
    <w:p w14:paraId="755841BD" w14:textId="77777777" w:rsidR="003920BF" w:rsidRDefault="003920BF" w:rsidP="006D3EBC">
      <w:pPr>
        <w:pStyle w:val="Body"/>
        <w:spacing w:before="240" w:after="60" w:line="276" w:lineRule="auto"/>
        <w:ind w:right="543" w:firstLine="0"/>
      </w:pPr>
    </w:p>
    <w:p w14:paraId="64AD62B8" w14:textId="77777777" w:rsidR="003920BF" w:rsidRDefault="003920BF" w:rsidP="006D3EBC">
      <w:pPr>
        <w:pStyle w:val="Body"/>
        <w:spacing w:before="240" w:after="60" w:line="276" w:lineRule="auto"/>
        <w:ind w:right="543" w:firstLine="0"/>
      </w:pPr>
    </w:p>
    <w:p w14:paraId="2485574F" w14:textId="77777777" w:rsidR="003920BF" w:rsidRDefault="003920BF" w:rsidP="006D3EBC">
      <w:pPr>
        <w:pStyle w:val="Body"/>
        <w:spacing w:before="240" w:after="60" w:line="276" w:lineRule="auto"/>
        <w:ind w:right="543" w:firstLine="0"/>
      </w:pPr>
    </w:p>
    <w:p w14:paraId="2090C810" w14:textId="77777777" w:rsidR="003920BF" w:rsidRDefault="003920BF" w:rsidP="006D3EBC">
      <w:pPr>
        <w:pStyle w:val="Body"/>
        <w:spacing w:before="240" w:after="60" w:line="276" w:lineRule="auto"/>
        <w:ind w:right="543" w:firstLine="0"/>
      </w:pPr>
    </w:p>
    <w:p w14:paraId="47B31D30" w14:textId="6D57CB1A" w:rsidR="004F231B" w:rsidRDefault="004F231B" w:rsidP="006D3EBC">
      <w:pPr>
        <w:pStyle w:val="Body"/>
        <w:spacing w:before="240" w:after="60" w:line="276" w:lineRule="auto"/>
        <w:ind w:right="543" w:firstLine="0"/>
      </w:pPr>
      <w:r w:rsidRPr="004F231B">
        <w:t>GC-MS analysis of Mo e</w:t>
      </w:r>
      <w:r>
        <w:t>t</w:t>
      </w:r>
      <w:r w:rsidRPr="004F231B">
        <w:t xml:space="preserve">hanolic leaves extracts </w:t>
      </w:r>
    </w:p>
    <w:p w14:paraId="1773AF11" w14:textId="29AEA293" w:rsidR="00CC3469" w:rsidRDefault="00B03755" w:rsidP="006D3EBC">
      <w:pPr>
        <w:pStyle w:val="Body"/>
        <w:spacing w:before="240" w:after="60" w:line="276" w:lineRule="auto"/>
        <w:ind w:right="543" w:firstLine="0"/>
      </w:pPr>
      <w:r>
        <w:t xml:space="preserve">In the GC-MS analysis of Mo leaves, the primary constituents identified were Trans-11 octadecenoic acid and Oleic Acid (18.15%), with 1H,3H-Quinoline-2,5-dione, 1-4-fluorophenyl (16.28%) being the next major alkaloid components, as shown in Table </w:t>
      </w:r>
      <w:r w:rsidR="00ED0155">
        <w:t>1</w:t>
      </w:r>
      <w:r>
        <w:t xml:space="preserve"> and Figure </w:t>
      </w:r>
      <w:r w:rsidR="00AC4550">
        <w:t>2</w:t>
      </w:r>
      <w:r>
        <w:t xml:space="preserve">. However, the rest components following </w:t>
      </w:r>
      <w:r>
        <w:lastRenderedPageBreak/>
        <w:t>GC-MS analysis showed minor components ranged from 0.79% of Oxirane, trimethyl-1,3-Dioxane, 4,5-dimethyl- to 4.75% of Ethanol, 2-bromo-N-(2- Methoxyethyl) alanine Triethyl borate.</w:t>
      </w:r>
    </w:p>
    <w:p w14:paraId="34642726" w14:textId="2E9BC129" w:rsidR="00B03755" w:rsidRDefault="0031484A" w:rsidP="003920BF">
      <w:pPr>
        <w:pStyle w:val="Body"/>
        <w:spacing w:line="240" w:lineRule="auto"/>
        <w:ind w:right="543" w:firstLine="0"/>
        <w:contextualSpacing/>
        <w:jc w:val="center"/>
      </w:pPr>
      <w:r w:rsidRPr="0031484A">
        <w:rPr>
          <w:b/>
          <w:bCs/>
        </w:rPr>
        <w:t xml:space="preserve">Table </w:t>
      </w:r>
      <w:r w:rsidR="00ED0155">
        <w:rPr>
          <w:b/>
          <w:bCs/>
        </w:rPr>
        <w:t>1</w:t>
      </w:r>
      <w:r>
        <w:t>:</w:t>
      </w:r>
      <w:r w:rsidRPr="0031484A">
        <w:t xml:space="preserve"> GC-MS profile of the Mo ethanolic Leaves extracts.</w:t>
      </w:r>
    </w:p>
    <w:tbl>
      <w:tblPr>
        <w:tblStyle w:val="TableGrid"/>
        <w:tblW w:w="988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9"/>
        <w:gridCol w:w="1461"/>
        <w:gridCol w:w="1164"/>
        <w:gridCol w:w="192"/>
        <w:gridCol w:w="5647"/>
        <w:gridCol w:w="270"/>
      </w:tblGrid>
      <w:tr w:rsidR="00A33B32" w14:paraId="6A7C8F02" w14:textId="77777777" w:rsidTr="003920BF">
        <w:trPr>
          <w:gridAfter w:val="1"/>
          <w:wAfter w:w="270" w:type="dxa"/>
          <w:trHeight w:val="149"/>
          <w:jc w:val="center"/>
        </w:trPr>
        <w:tc>
          <w:tcPr>
            <w:tcW w:w="1149" w:type="dxa"/>
            <w:tcBorders>
              <w:top w:val="single" w:sz="4" w:space="0" w:color="auto"/>
              <w:bottom w:val="single" w:sz="4" w:space="0" w:color="auto"/>
            </w:tcBorders>
          </w:tcPr>
          <w:p w14:paraId="7BF41886" w14:textId="4B869204" w:rsidR="0031484A" w:rsidRPr="0031484A"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31484A">
              <w:rPr>
                <w:b/>
                <w:bCs/>
                <w:sz w:val="18"/>
                <w:szCs w:val="18"/>
              </w:rPr>
              <w:t>Peck</w:t>
            </w:r>
          </w:p>
        </w:tc>
        <w:tc>
          <w:tcPr>
            <w:tcW w:w="1461" w:type="dxa"/>
            <w:tcBorders>
              <w:top w:val="single" w:sz="4" w:space="0" w:color="auto"/>
              <w:bottom w:val="single" w:sz="4" w:space="0" w:color="auto"/>
            </w:tcBorders>
          </w:tcPr>
          <w:p w14:paraId="5E5DCA55" w14:textId="049C8038" w:rsidR="0031484A" w:rsidRPr="0031484A"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31484A">
              <w:rPr>
                <w:b/>
                <w:bCs/>
                <w:sz w:val="18"/>
                <w:szCs w:val="18"/>
              </w:rPr>
              <w:t>Retention time</w:t>
            </w:r>
          </w:p>
        </w:tc>
        <w:tc>
          <w:tcPr>
            <w:tcW w:w="1356" w:type="dxa"/>
            <w:gridSpan w:val="2"/>
            <w:tcBorders>
              <w:top w:val="single" w:sz="4" w:space="0" w:color="auto"/>
              <w:bottom w:val="single" w:sz="4" w:space="0" w:color="auto"/>
            </w:tcBorders>
          </w:tcPr>
          <w:p w14:paraId="4F28103F" w14:textId="02EF92E1" w:rsidR="0031484A" w:rsidRPr="0031484A"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31484A">
              <w:rPr>
                <w:b/>
                <w:bCs/>
                <w:sz w:val="18"/>
                <w:szCs w:val="18"/>
              </w:rPr>
              <w:t>Area %</w:t>
            </w:r>
          </w:p>
        </w:tc>
        <w:tc>
          <w:tcPr>
            <w:tcW w:w="5647" w:type="dxa"/>
            <w:tcBorders>
              <w:top w:val="single" w:sz="4" w:space="0" w:color="auto"/>
              <w:bottom w:val="single" w:sz="4" w:space="0" w:color="auto"/>
            </w:tcBorders>
          </w:tcPr>
          <w:p w14:paraId="4F0413E8" w14:textId="3BE26D7F" w:rsidR="0031484A" w:rsidRPr="0031484A"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center"/>
              <w:rPr>
                <w:b/>
                <w:bCs/>
                <w:iCs/>
                <w:sz w:val="18"/>
                <w:szCs w:val="18"/>
              </w:rPr>
            </w:pPr>
            <w:r w:rsidRPr="0031484A">
              <w:rPr>
                <w:b/>
                <w:bCs/>
                <w:sz w:val="18"/>
                <w:szCs w:val="18"/>
              </w:rPr>
              <w:t>Name</w:t>
            </w:r>
          </w:p>
        </w:tc>
      </w:tr>
      <w:tr w:rsidR="00A33B32" w14:paraId="1332765B" w14:textId="77777777" w:rsidTr="003920BF">
        <w:trPr>
          <w:trHeight w:val="693"/>
          <w:jc w:val="center"/>
        </w:trPr>
        <w:tc>
          <w:tcPr>
            <w:tcW w:w="1149" w:type="dxa"/>
            <w:tcBorders>
              <w:top w:val="single" w:sz="4" w:space="0" w:color="auto"/>
            </w:tcBorders>
            <w:vAlign w:val="center"/>
          </w:tcPr>
          <w:p w14:paraId="478736DD" w14:textId="1AD18BE0"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1</w:t>
            </w:r>
          </w:p>
        </w:tc>
        <w:tc>
          <w:tcPr>
            <w:tcW w:w="1461" w:type="dxa"/>
            <w:tcBorders>
              <w:top w:val="single" w:sz="4" w:space="0" w:color="auto"/>
            </w:tcBorders>
            <w:vAlign w:val="center"/>
          </w:tcPr>
          <w:p w14:paraId="29508EC8" w14:textId="73EFD921"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4.734</w:t>
            </w:r>
          </w:p>
        </w:tc>
        <w:tc>
          <w:tcPr>
            <w:tcW w:w="1164" w:type="dxa"/>
            <w:tcBorders>
              <w:top w:val="single" w:sz="4" w:space="0" w:color="auto"/>
            </w:tcBorders>
            <w:vAlign w:val="center"/>
          </w:tcPr>
          <w:p w14:paraId="128267F9" w14:textId="5369AF23"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1.57</w:t>
            </w:r>
          </w:p>
        </w:tc>
        <w:tc>
          <w:tcPr>
            <w:tcW w:w="6109" w:type="dxa"/>
            <w:gridSpan w:val="3"/>
            <w:tcBorders>
              <w:top w:val="single" w:sz="4" w:space="0" w:color="auto"/>
            </w:tcBorders>
            <w:vAlign w:val="center"/>
          </w:tcPr>
          <w:p w14:paraId="1870BE24" w14:textId="77777777" w:rsidR="0031484A" w:rsidRPr="00B03755" w:rsidRDefault="0031484A" w:rsidP="003920BF">
            <w:pPr>
              <w:ind w:left="0" w:right="0" w:firstLine="51"/>
              <w:contextualSpacing/>
              <w:jc w:val="center"/>
              <w:rPr>
                <w:rFonts w:ascii="Palatino Linotype" w:hAnsi="Palatino Linotype" w:cstheme="majorBidi"/>
                <w:sz w:val="18"/>
                <w:szCs w:val="18"/>
                <w:lang w:val="fr-FR"/>
              </w:rPr>
            </w:pPr>
            <w:proofErr w:type="spellStart"/>
            <w:r w:rsidRPr="00B03755">
              <w:rPr>
                <w:rFonts w:ascii="Palatino Linotype" w:hAnsi="Palatino Linotype" w:cstheme="majorBidi"/>
                <w:sz w:val="18"/>
                <w:szCs w:val="18"/>
                <w:lang w:val="fr-FR"/>
              </w:rPr>
              <w:t>Adenosine</w:t>
            </w:r>
            <w:proofErr w:type="spellEnd"/>
            <w:r w:rsidRPr="00B03755">
              <w:rPr>
                <w:rFonts w:ascii="Palatino Linotype" w:hAnsi="Palatino Linotype" w:cstheme="majorBidi"/>
                <w:sz w:val="18"/>
                <w:szCs w:val="18"/>
                <w:lang w:val="fr-FR"/>
              </w:rPr>
              <w:t>, 4'-de(</w:t>
            </w:r>
            <w:proofErr w:type="spellStart"/>
            <w:r w:rsidRPr="00B03755">
              <w:rPr>
                <w:rFonts w:ascii="Palatino Linotype" w:hAnsi="Palatino Linotype" w:cstheme="majorBidi"/>
                <w:sz w:val="18"/>
                <w:szCs w:val="18"/>
                <w:lang w:val="fr-FR"/>
              </w:rPr>
              <w:t>hydroxymethyl</w:t>
            </w:r>
            <w:proofErr w:type="spellEnd"/>
            <w:r w:rsidRPr="00B03755">
              <w:rPr>
                <w:rFonts w:ascii="Palatino Linotype" w:hAnsi="Palatino Linotype" w:cstheme="majorBidi"/>
                <w:sz w:val="18"/>
                <w:szCs w:val="18"/>
                <w:lang w:val="fr-FR"/>
              </w:rPr>
              <w:t>)-4-[N-</w:t>
            </w:r>
            <w:proofErr w:type="spellStart"/>
            <w:r w:rsidRPr="00B03755">
              <w:rPr>
                <w:rFonts w:ascii="Palatino Linotype" w:hAnsi="Palatino Linotype" w:cstheme="majorBidi"/>
                <w:sz w:val="18"/>
                <w:szCs w:val="18"/>
                <w:lang w:val="fr-FR"/>
              </w:rPr>
              <w:t>ethylaminoformyl</w:t>
            </w:r>
            <w:proofErr w:type="spellEnd"/>
            <w:r w:rsidRPr="00B03755">
              <w:rPr>
                <w:rFonts w:ascii="Palatino Linotype" w:hAnsi="Palatino Linotype" w:cstheme="majorBidi"/>
                <w:sz w:val="18"/>
                <w:szCs w:val="18"/>
                <w:lang w:val="fr-FR"/>
              </w:rPr>
              <w:t>] -</w:t>
            </w:r>
          </w:p>
          <w:p w14:paraId="2FDB82B7" w14:textId="5CEA37FA"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Acetamide, 2-(2-hydroxyethoxy)-m-Dioxan-4-ol, 2,6-dimethyl-</w:t>
            </w:r>
          </w:p>
        </w:tc>
      </w:tr>
      <w:tr w:rsidR="00A33B32" w14:paraId="25F4365D" w14:textId="77777777" w:rsidTr="003920BF">
        <w:trPr>
          <w:trHeight w:val="512"/>
          <w:jc w:val="center"/>
        </w:trPr>
        <w:tc>
          <w:tcPr>
            <w:tcW w:w="1149" w:type="dxa"/>
            <w:vAlign w:val="center"/>
          </w:tcPr>
          <w:p w14:paraId="11F34CAA" w14:textId="165F37AA"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2</w:t>
            </w:r>
          </w:p>
        </w:tc>
        <w:tc>
          <w:tcPr>
            <w:tcW w:w="1461" w:type="dxa"/>
            <w:vAlign w:val="center"/>
          </w:tcPr>
          <w:p w14:paraId="3DD0D3CD" w14:textId="5DE72323"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7.155</w:t>
            </w:r>
          </w:p>
        </w:tc>
        <w:tc>
          <w:tcPr>
            <w:tcW w:w="1164" w:type="dxa"/>
            <w:vAlign w:val="center"/>
          </w:tcPr>
          <w:p w14:paraId="0F5A223D" w14:textId="073BE044"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1.62</w:t>
            </w:r>
          </w:p>
        </w:tc>
        <w:tc>
          <w:tcPr>
            <w:tcW w:w="6109" w:type="dxa"/>
            <w:gridSpan w:val="3"/>
            <w:vAlign w:val="center"/>
          </w:tcPr>
          <w:p w14:paraId="1F174F6C" w14:textId="77777777" w:rsidR="0031484A" w:rsidRPr="00B03755"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Adenosine, 4'-de(hydroxymethyl)-4'</w:t>
            </w:r>
          </w:p>
          <w:p w14:paraId="0FE02B92" w14:textId="20725A33"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2H-Pyran-2-one, tetrahydro-6,6-dimethyl-</w:t>
            </w:r>
          </w:p>
        </w:tc>
      </w:tr>
      <w:tr w:rsidR="00A33B32" w14:paraId="1D2A84BB" w14:textId="77777777" w:rsidTr="003920BF">
        <w:trPr>
          <w:trHeight w:val="512"/>
          <w:jc w:val="center"/>
        </w:trPr>
        <w:tc>
          <w:tcPr>
            <w:tcW w:w="1149" w:type="dxa"/>
            <w:vAlign w:val="center"/>
          </w:tcPr>
          <w:p w14:paraId="24D65BB6" w14:textId="4E031697"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3</w:t>
            </w:r>
          </w:p>
        </w:tc>
        <w:tc>
          <w:tcPr>
            <w:tcW w:w="1461" w:type="dxa"/>
            <w:vAlign w:val="center"/>
          </w:tcPr>
          <w:p w14:paraId="4E892B5C" w14:textId="67867EE9"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9.143</w:t>
            </w:r>
          </w:p>
        </w:tc>
        <w:tc>
          <w:tcPr>
            <w:tcW w:w="1164" w:type="dxa"/>
            <w:vAlign w:val="center"/>
          </w:tcPr>
          <w:p w14:paraId="7F5144E1" w14:textId="2DBFAB9A"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0.79</w:t>
            </w:r>
          </w:p>
        </w:tc>
        <w:tc>
          <w:tcPr>
            <w:tcW w:w="6109" w:type="dxa"/>
            <w:gridSpan w:val="3"/>
            <w:vAlign w:val="center"/>
          </w:tcPr>
          <w:p w14:paraId="6BCC717C" w14:textId="5DFB0AFA"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Oxirane, trimethyl-1,3-Dioxane, 4,5-dimethyl-</w:t>
            </w:r>
          </w:p>
        </w:tc>
      </w:tr>
      <w:tr w:rsidR="00A33B32" w14:paraId="512B80C8" w14:textId="6DCE6847" w:rsidTr="003920BF">
        <w:trPr>
          <w:trHeight w:val="678"/>
          <w:jc w:val="center"/>
        </w:trPr>
        <w:tc>
          <w:tcPr>
            <w:tcW w:w="1149" w:type="dxa"/>
            <w:vAlign w:val="center"/>
          </w:tcPr>
          <w:p w14:paraId="0332B5F5" w14:textId="051249A6"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4</w:t>
            </w:r>
          </w:p>
        </w:tc>
        <w:tc>
          <w:tcPr>
            <w:tcW w:w="1461" w:type="dxa"/>
            <w:vAlign w:val="center"/>
          </w:tcPr>
          <w:p w14:paraId="4B7B1813" w14:textId="29A01B08"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11.207</w:t>
            </w:r>
          </w:p>
        </w:tc>
        <w:tc>
          <w:tcPr>
            <w:tcW w:w="1164" w:type="dxa"/>
            <w:vAlign w:val="center"/>
          </w:tcPr>
          <w:p w14:paraId="4C5760DA" w14:textId="7E39BE72"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16.28</w:t>
            </w:r>
          </w:p>
        </w:tc>
        <w:tc>
          <w:tcPr>
            <w:tcW w:w="6109" w:type="dxa"/>
            <w:gridSpan w:val="3"/>
            <w:vAlign w:val="center"/>
          </w:tcPr>
          <w:p w14:paraId="084C12A1" w14:textId="77777777" w:rsidR="0031484A" w:rsidRPr="00B03755"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2-Hexanol, 3-methyl-</w:t>
            </w:r>
          </w:p>
          <w:p w14:paraId="4F2B74C5" w14:textId="1EBB5E29"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Ethanol, 2-[2-(2-methoxyethoxy) ethoxy]-, acetate</w:t>
            </w:r>
            <w:r>
              <w:rPr>
                <w:rFonts w:ascii="Palatino Linotype" w:hAnsi="Palatino Linotype" w:cstheme="majorBidi"/>
                <w:sz w:val="18"/>
                <w:szCs w:val="18"/>
              </w:rPr>
              <w:t xml:space="preserve"> </w:t>
            </w:r>
            <w:r w:rsidRPr="00B03755">
              <w:rPr>
                <w:rFonts w:ascii="Palatino Linotype" w:hAnsi="Palatino Linotype" w:cstheme="majorBidi"/>
                <w:sz w:val="18"/>
                <w:szCs w:val="18"/>
              </w:rPr>
              <w:t>Pentane, 1-methoxy-</w:t>
            </w:r>
          </w:p>
        </w:tc>
      </w:tr>
      <w:tr w:rsidR="00A33B32" w14:paraId="49D9D68F" w14:textId="77777777" w:rsidTr="003920BF">
        <w:trPr>
          <w:trHeight w:val="693"/>
          <w:jc w:val="center"/>
        </w:trPr>
        <w:tc>
          <w:tcPr>
            <w:tcW w:w="1149" w:type="dxa"/>
            <w:vAlign w:val="center"/>
          </w:tcPr>
          <w:p w14:paraId="0CF862FC" w14:textId="02F80740"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5</w:t>
            </w:r>
          </w:p>
        </w:tc>
        <w:tc>
          <w:tcPr>
            <w:tcW w:w="1461" w:type="dxa"/>
            <w:vAlign w:val="center"/>
          </w:tcPr>
          <w:p w14:paraId="2FFA075C" w14:textId="003AC89E"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11.938</w:t>
            </w:r>
          </w:p>
        </w:tc>
        <w:tc>
          <w:tcPr>
            <w:tcW w:w="1164" w:type="dxa"/>
            <w:vAlign w:val="center"/>
          </w:tcPr>
          <w:p w14:paraId="25F91589" w14:textId="6A2F08E0"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2.20</w:t>
            </w:r>
          </w:p>
        </w:tc>
        <w:tc>
          <w:tcPr>
            <w:tcW w:w="6109" w:type="dxa"/>
            <w:gridSpan w:val="3"/>
            <w:vAlign w:val="center"/>
          </w:tcPr>
          <w:p w14:paraId="2974620C" w14:textId="77777777" w:rsidR="0031484A" w:rsidRPr="00B03755"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1,3-Butanediol</w:t>
            </w:r>
          </w:p>
          <w:p w14:paraId="5FBBFCB0" w14:textId="15180DA9"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1-Butanol, 4-methoxy-1,4,7,10,13,16-Hexaoxacyclooctadecane</w:t>
            </w:r>
          </w:p>
        </w:tc>
      </w:tr>
      <w:tr w:rsidR="00A33B32" w14:paraId="76F2BD46" w14:textId="77777777" w:rsidTr="003920BF">
        <w:trPr>
          <w:trHeight w:val="512"/>
          <w:jc w:val="center"/>
        </w:trPr>
        <w:tc>
          <w:tcPr>
            <w:tcW w:w="1149" w:type="dxa"/>
            <w:vAlign w:val="center"/>
          </w:tcPr>
          <w:p w14:paraId="450917FF" w14:textId="374D51AE"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6</w:t>
            </w:r>
          </w:p>
        </w:tc>
        <w:tc>
          <w:tcPr>
            <w:tcW w:w="1461" w:type="dxa"/>
            <w:vAlign w:val="center"/>
          </w:tcPr>
          <w:p w14:paraId="08EA68A2" w14:textId="2C434E96"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12.337</w:t>
            </w:r>
          </w:p>
        </w:tc>
        <w:tc>
          <w:tcPr>
            <w:tcW w:w="1164" w:type="dxa"/>
            <w:vAlign w:val="center"/>
          </w:tcPr>
          <w:p w14:paraId="23BCBDE9" w14:textId="2D2AAA2F"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1.36</w:t>
            </w:r>
          </w:p>
        </w:tc>
        <w:tc>
          <w:tcPr>
            <w:tcW w:w="6109" w:type="dxa"/>
            <w:gridSpan w:val="3"/>
            <w:vAlign w:val="center"/>
          </w:tcPr>
          <w:p w14:paraId="1ACE49D2" w14:textId="2074CA29"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Acetaldehyde, di-sec-butyl acetal</w:t>
            </w:r>
            <w:r>
              <w:rPr>
                <w:rFonts w:ascii="Palatino Linotype" w:hAnsi="Palatino Linotype" w:cstheme="majorBidi"/>
                <w:sz w:val="18"/>
                <w:szCs w:val="18"/>
              </w:rPr>
              <w:t xml:space="preserve"> </w:t>
            </w:r>
            <w:r w:rsidRPr="00B03755">
              <w:rPr>
                <w:rFonts w:ascii="Palatino Linotype" w:hAnsi="Palatino Linotype" w:cstheme="majorBidi"/>
                <w:sz w:val="18"/>
                <w:szCs w:val="18"/>
              </w:rPr>
              <w:t>Butyric acid, 2,3-dioxo-, 2-methyl oxime, ethyl ester</w:t>
            </w:r>
          </w:p>
        </w:tc>
      </w:tr>
      <w:tr w:rsidR="00A33B32" w14:paraId="5D138009" w14:textId="77777777" w:rsidTr="003920BF">
        <w:trPr>
          <w:trHeight w:val="739"/>
          <w:jc w:val="center"/>
        </w:trPr>
        <w:tc>
          <w:tcPr>
            <w:tcW w:w="1149" w:type="dxa"/>
            <w:vAlign w:val="center"/>
          </w:tcPr>
          <w:p w14:paraId="59542B47" w14:textId="668B56DA"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7</w:t>
            </w:r>
          </w:p>
        </w:tc>
        <w:tc>
          <w:tcPr>
            <w:tcW w:w="1461" w:type="dxa"/>
            <w:vAlign w:val="center"/>
          </w:tcPr>
          <w:p w14:paraId="0D0D1E95" w14:textId="0A8FE25C"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13.951</w:t>
            </w:r>
          </w:p>
        </w:tc>
        <w:tc>
          <w:tcPr>
            <w:tcW w:w="1164" w:type="dxa"/>
            <w:vAlign w:val="center"/>
          </w:tcPr>
          <w:p w14:paraId="2955B17B" w14:textId="77777777" w:rsidR="0031484A" w:rsidRDefault="0031484A" w:rsidP="003920BF">
            <w:pPr>
              <w:ind w:left="0" w:right="543" w:firstLine="0"/>
              <w:contextualSpacing/>
              <w:jc w:val="left"/>
              <w:rPr>
                <w:rFonts w:ascii="Palatino Linotype" w:hAnsi="Palatino Linotype" w:cstheme="majorBidi"/>
                <w:sz w:val="18"/>
                <w:szCs w:val="18"/>
              </w:rPr>
            </w:pPr>
          </w:p>
          <w:p w14:paraId="4B5B0129" w14:textId="57867959" w:rsidR="0031484A" w:rsidRPr="0031484A" w:rsidRDefault="0031484A" w:rsidP="003920BF">
            <w:pPr>
              <w:ind w:left="0" w:right="543" w:firstLine="0"/>
              <w:contextualSpacing/>
              <w:jc w:val="left"/>
              <w:rPr>
                <w:rFonts w:ascii="Palatino Linotype" w:hAnsi="Palatino Linotype" w:cstheme="majorBidi"/>
                <w:sz w:val="18"/>
                <w:szCs w:val="18"/>
              </w:rPr>
            </w:pPr>
            <w:r>
              <w:rPr>
                <w:rFonts w:ascii="Palatino Linotype" w:hAnsi="Palatino Linotype" w:cstheme="majorBidi"/>
                <w:sz w:val="18"/>
                <w:szCs w:val="18"/>
              </w:rPr>
              <w:t>1</w:t>
            </w:r>
            <w:r w:rsidRPr="00B03755">
              <w:rPr>
                <w:rFonts w:ascii="Palatino Linotype" w:hAnsi="Palatino Linotype" w:cstheme="majorBidi"/>
                <w:sz w:val="18"/>
                <w:szCs w:val="18"/>
              </w:rPr>
              <w:t>6.28</w:t>
            </w:r>
          </w:p>
        </w:tc>
        <w:tc>
          <w:tcPr>
            <w:tcW w:w="6109" w:type="dxa"/>
            <w:gridSpan w:val="3"/>
            <w:vAlign w:val="center"/>
          </w:tcPr>
          <w:p w14:paraId="7D486339" w14:textId="12943149"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iCs/>
                <w:sz w:val="18"/>
                <w:szCs w:val="18"/>
              </w:rPr>
              <w:t xml:space="preserve">1H,3H-Quinoline-2,5-dione, 1-4-fluorophenyl </w:t>
            </w:r>
            <w:r w:rsidRPr="00B03755">
              <w:rPr>
                <w:rFonts w:ascii="Palatino Linotype" w:hAnsi="Palatino Linotype" w:cstheme="majorBidi"/>
                <w:sz w:val="18"/>
                <w:szCs w:val="18"/>
              </w:rPr>
              <w:t>-4H-Pyran-4-one, 2,3-dihydro-3,5-di hydroxy-6-methyl-</w:t>
            </w:r>
          </w:p>
        </w:tc>
      </w:tr>
      <w:tr w:rsidR="00A33B32" w:rsidRPr="00BA7407" w14:paraId="4C757BCA" w14:textId="77777777" w:rsidTr="003920BF">
        <w:trPr>
          <w:trHeight w:val="512"/>
          <w:jc w:val="center"/>
        </w:trPr>
        <w:tc>
          <w:tcPr>
            <w:tcW w:w="1149" w:type="dxa"/>
            <w:vAlign w:val="center"/>
          </w:tcPr>
          <w:p w14:paraId="5023BCB3" w14:textId="276AD04A"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8</w:t>
            </w:r>
          </w:p>
        </w:tc>
        <w:tc>
          <w:tcPr>
            <w:tcW w:w="1461" w:type="dxa"/>
            <w:vAlign w:val="center"/>
          </w:tcPr>
          <w:p w14:paraId="060AFA4B" w14:textId="47C55F3B"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15.039</w:t>
            </w:r>
          </w:p>
        </w:tc>
        <w:tc>
          <w:tcPr>
            <w:tcW w:w="1164" w:type="dxa"/>
            <w:vAlign w:val="center"/>
          </w:tcPr>
          <w:p w14:paraId="6E30CBDC" w14:textId="79E324AF"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18.15</w:t>
            </w:r>
          </w:p>
        </w:tc>
        <w:tc>
          <w:tcPr>
            <w:tcW w:w="6109" w:type="dxa"/>
            <w:gridSpan w:val="3"/>
            <w:vAlign w:val="center"/>
          </w:tcPr>
          <w:p w14:paraId="1A034E01" w14:textId="77777777" w:rsidR="0031484A" w:rsidRPr="00BA7407" w:rsidRDefault="0031484A" w:rsidP="003920BF">
            <w:pPr>
              <w:ind w:left="0" w:right="0" w:firstLine="51"/>
              <w:contextualSpacing/>
              <w:jc w:val="center"/>
              <w:rPr>
                <w:rFonts w:ascii="Palatino Linotype" w:hAnsi="Palatino Linotype" w:cstheme="majorBidi"/>
                <w:sz w:val="18"/>
                <w:szCs w:val="18"/>
                <w:lang w:val="pt-BR"/>
              </w:rPr>
            </w:pPr>
            <w:r w:rsidRPr="00BA7407">
              <w:rPr>
                <w:rFonts w:ascii="Palatino Linotype" w:hAnsi="Palatino Linotype" w:cstheme="majorBidi"/>
                <w:sz w:val="18"/>
                <w:szCs w:val="18"/>
                <w:lang w:val="pt-BR"/>
              </w:rPr>
              <w:t>Imidazole, 2-fluoro-5-hydroxy-1-ri bofuranosyl-</w:t>
            </w:r>
          </w:p>
          <w:p w14:paraId="6109B519" w14:textId="77F949D0" w:rsidR="0031484A" w:rsidRPr="00BA7407" w:rsidRDefault="0031484A" w:rsidP="003920BF">
            <w:pPr>
              <w:ind w:left="0" w:right="0" w:firstLine="51"/>
              <w:contextualSpacing/>
              <w:jc w:val="center"/>
              <w:rPr>
                <w:rFonts w:ascii="Palatino Linotype" w:hAnsi="Palatino Linotype" w:cstheme="majorBidi"/>
                <w:iCs/>
                <w:sz w:val="18"/>
                <w:szCs w:val="18"/>
                <w:lang w:val="pt-BR"/>
              </w:rPr>
            </w:pPr>
            <w:r w:rsidRPr="00BA7407">
              <w:rPr>
                <w:rFonts w:ascii="Palatino Linotype" w:hAnsi="Palatino Linotype" w:cstheme="majorBidi"/>
                <w:iCs/>
                <w:sz w:val="18"/>
                <w:szCs w:val="18"/>
                <w:lang w:val="pt-BR"/>
              </w:rPr>
              <w:t>Trans-11-octadecenoic acid, Oleic Acid</w:t>
            </w:r>
          </w:p>
        </w:tc>
      </w:tr>
      <w:tr w:rsidR="00A33B32" w14:paraId="32FFA634" w14:textId="77777777" w:rsidTr="003920BF">
        <w:trPr>
          <w:trHeight w:val="693"/>
          <w:jc w:val="center"/>
        </w:trPr>
        <w:tc>
          <w:tcPr>
            <w:tcW w:w="1149" w:type="dxa"/>
            <w:vAlign w:val="center"/>
          </w:tcPr>
          <w:p w14:paraId="521AC9F3" w14:textId="4277FCE0"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9</w:t>
            </w:r>
          </w:p>
        </w:tc>
        <w:tc>
          <w:tcPr>
            <w:tcW w:w="1461" w:type="dxa"/>
            <w:vAlign w:val="center"/>
          </w:tcPr>
          <w:p w14:paraId="68C259C0" w14:textId="102D05AE"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18.615</w:t>
            </w:r>
          </w:p>
        </w:tc>
        <w:tc>
          <w:tcPr>
            <w:tcW w:w="1164" w:type="dxa"/>
            <w:vAlign w:val="center"/>
          </w:tcPr>
          <w:p w14:paraId="02F9F8DD" w14:textId="2A3F91B2"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0.93</w:t>
            </w:r>
          </w:p>
        </w:tc>
        <w:tc>
          <w:tcPr>
            <w:tcW w:w="6109" w:type="dxa"/>
            <w:gridSpan w:val="3"/>
            <w:vAlign w:val="center"/>
          </w:tcPr>
          <w:p w14:paraId="63C516F4" w14:textId="77777777" w:rsidR="0031484A" w:rsidRPr="00B03755"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(2,5-Dimethyl- [1,3] dioxan-4-yl)-methanol</w:t>
            </w:r>
          </w:p>
          <w:p w14:paraId="4ACCEF28" w14:textId="4AD004ED"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Acetic acid, hydroxy-, ethyl ester</w:t>
            </w:r>
            <w:r>
              <w:rPr>
                <w:rFonts w:ascii="Palatino Linotype" w:hAnsi="Palatino Linotype" w:cstheme="majorBidi"/>
                <w:sz w:val="18"/>
                <w:szCs w:val="18"/>
              </w:rPr>
              <w:t xml:space="preserve">, </w:t>
            </w:r>
            <w:r w:rsidRPr="00B03755">
              <w:rPr>
                <w:rFonts w:ascii="Palatino Linotype" w:hAnsi="Palatino Linotype" w:cstheme="majorBidi"/>
                <w:sz w:val="18"/>
                <w:szCs w:val="18"/>
              </w:rPr>
              <w:t>Hydroperoxide, 1-methylpentyl</w:t>
            </w:r>
          </w:p>
        </w:tc>
      </w:tr>
      <w:tr w:rsidR="00A33B32" w14:paraId="5ECB9DB1" w14:textId="77777777" w:rsidTr="003920BF">
        <w:trPr>
          <w:trHeight w:val="512"/>
          <w:jc w:val="center"/>
        </w:trPr>
        <w:tc>
          <w:tcPr>
            <w:tcW w:w="1149" w:type="dxa"/>
            <w:vAlign w:val="center"/>
          </w:tcPr>
          <w:p w14:paraId="1497ED1D" w14:textId="7003A7DD"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10</w:t>
            </w:r>
          </w:p>
        </w:tc>
        <w:tc>
          <w:tcPr>
            <w:tcW w:w="1461" w:type="dxa"/>
            <w:vAlign w:val="center"/>
          </w:tcPr>
          <w:p w14:paraId="23702B4F" w14:textId="574BBA6D"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19.881</w:t>
            </w:r>
          </w:p>
        </w:tc>
        <w:tc>
          <w:tcPr>
            <w:tcW w:w="1164" w:type="dxa"/>
            <w:vAlign w:val="center"/>
          </w:tcPr>
          <w:p w14:paraId="213A2AE7" w14:textId="0F3BCC3B"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1.00</w:t>
            </w:r>
          </w:p>
        </w:tc>
        <w:tc>
          <w:tcPr>
            <w:tcW w:w="6109" w:type="dxa"/>
            <w:gridSpan w:val="3"/>
            <w:vAlign w:val="center"/>
          </w:tcPr>
          <w:p w14:paraId="4F8C920B" w14:textId="0C8B80CF" w:rsidR="0031484A" w:rsidRPr="0031484A" w:rsidRDefault="0031484A" w:rsidP="003920BF">
            <w:pPr>
              <w:tabs>
                <w:tab w:val="left" w:pos="948"/>
              </w:tabs>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3-Methyl-oxiran-2-yl)-methanol</w:t>
            </w:r>
            <w:r>
              <w:rPr>
                <w:rFonts w:ascii="Palatino Linotype" w:hAnsi="Palatino Linotype" w:cstheme="majorBidi"/>
                <w:sz w:val="18"/>
                <w:szCs w:val="18"/>
              </w:rPr>
              <w:t xml:space="preserve">, </w:t>
            </w:r>
            <w:r w:rsidRPr="00B03755">
              <w:rPr>
                <w:rFonts w:ascii="Palatino Linotype" w:hAnsi="Palatino Linotype" w:cstheme="majorBidi"/>
                <w:sz w:val="18"/>
                <w:szCs w:val="18"/>
              </w:rPr>
              <w:t>Butanamide, 3, N-dihydroxy-</w:t>
            </w:r>
          </w:p>
        </w:tc>
      </w:tr>
      <w:tr w:rsidR="00A33B32" w14:paraId="1052FA55" w14:textId="77777777" w:rsidTr="003920BF">
        <w:trPr>
          <w:trHeight w:val="512"/>
          <w:jc w:val="center"/>
        </w:trPr>
        <w:tc>
          <w:tcPr>
            <w:tcW w:w="1149" w:type="dxa"/>
            <w:vAlign w:val="center"/>
          </w:tcPr>
          <w:p w14:paraId="446D6625" w14:textId="5BB49FFC"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11</w:t>
            </w:r>
          </w:p>
        </w:tc>
        <w:tc>
          <w:tcPr>
            <w:tcW w:w="1461" w:type="dxa"/>
            <w:vAlign w:val="center"/>
          </w:tcPr>
          <w:p w14:paraId="33F460ED" w14:textId="3B6A7045"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20.900</w:t>
            </w:r>
          </w:p>
        </w:tc>
        <w:tc>
          <w:tcPr>
            <w:tcW w:w="1164" w:type="dxa"/>
            <w:vAlign w:val="center"/>
          </w:tcPr>
          <w:p w14:paraId="41372283" w14:textId="7D61EC37"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4.75</w:t>
            </w:r>
          </w:p>
        </w:tc>
        <w:tc>
          <w:tcPr>
            <w:tcW w:w="6109" w:type="dxa"/>
            <w:gridSpan w:val="3"/>
            <w:vAlign w:val="center"/>
          </w:tcPr>
          <w:p w14:paraId="30B0026D" w14:textId="77777777" w:rsidR="0031484A" w:rsidRPr="00B03755"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Ethanol, 2-bromo-</w:t>
            </w:r>
          </w:p>
          <w:p w14:paraId="7B33E130" w14:textId="6841B08F"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N-(2-Methoxyethyl) alanine</w:t>
            </w:r>
            <w:r>
              <w:rPr>
                <w:rFonts w:ascii="Palatino Linotype" w:hAnsi="Palatino Linotype" w:cstheme="majorBidi"/>
                <w:sz w:val="18"/>
                <w:szCs w:val="18"/>
              </w:rPr>
              <w:t xml:space="preserve">, </w:t>
            </w:r>
            <w:r w:rsidRPr="00B03755">
              <w:rPr>
                <w:rFonts w:ascii="Palatino Linotype" w:hAnsi="Palatino Linotype" w:cstheme="majorBidi"/>
                <w:sz w:val="18"/>
                <w:szCs w:val="18"/>
              </w:rPr>
              <w:t>Triethyl borate</w:t>
            </w:r>
          </w:p>
        </w:tc>
      </w:tr>
      <w:tr w:rsidR="00A33B32" w14:paraId="5DCCEF9B" w14:textId="77777777" w:rsidTr="003920BF">
        <w:trPr>
          <w:trHeight w:val="693"/>
          <w:jc w:val="center"/>
        </w:trPr>
        <w:tc>
          <w:tcPr>
            <w:tcW w:w="1149" w:type="dxa"/>
            <w:vAlign w:val="center"/>
          </w:tcPr>
          <w:p w14:paraId="5A5A4726" w14:textId="06DFB6B8"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12</w:t>
            </w:r>
          </w:p>
        </w:tc>
        <w:tc>
          <w:tcPr>
            <w:tcW w:w="1461" w:type="dxa"/>
            <w:vAlign w:val="center"/>
          </w:tcPr>
          <w:p w14:paraId="54686674" w14:textId="4F7152EF"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21.708</w:t>
            </w:r>
          </w:p>
        </w:tc>
        <w:tc>
          <w:tcPr>
            <w:tcW w:w="1164" w:type="dxa"/>
            <w:vAlign w:val="center"/>
          </w:tcPr>
          <w:p w14:paraId="442F4E53" w14:textId="49878D77"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1.32</w:t>
            </w:r>
          </w:p>
        </w:tc>
        <w:tc>
          <w:tcPr>
            <w:tcW w:w="6109" w:type="dxa"/>
            <w:gridSpan w:val="3"/>
            <w:vAlign w:val="center"/>
          </w:tcPr>
          <w:p w14:paraId="704AE49F" w14:textId="77777777" w:rsidR="0031484A" w:rsidRPr="00B03755"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2-O-Mesyl arabinose</w:t>
            </w:r>
          </w:p>
          <w:p w14:paraId="65DCAC5A" w14:textId="3760F698"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(3-Methyl-oxiran-2-yl)-methanol</w:t>
            </w:r>
            <w:r>
              <w:rPr>
                <w:rFonts w:ascii="Palatino Linotype" w:hAnsi="Palatino Linotype" w:cstheme="majorBidi"/>
                <w:sz w:val="18"/>
                <w:szCs w:val="18"/>
              </w:rPr>
              <w:t xml:space="preserve">, </w:t>
            </w:r>
            <w:r w:rsidRPr="00B03755">
              <w:rPr>
                <w:rFonts w:ascii="Palatino Linotype" w:hAnsi="Palatino Linotype" w:cstheme="majorBidi"/>
                <w:sz w:val="18"/>
                <w:szCs w:val="18"/>
              </w:rPr>
              <w:t xml:space="preserve">Imidazolidine, 1,2,3-triacetoxy-5- </w:t>
            </w:r>
            <w:proofErr w:type="spellStart"/>
            <w:r w:rsidRPr="00B03755">
              <w:rPr>
                <w:rFonts w:ascii="Palatino Linotype" w:hAnsi="Palatino Linotype" w:cstheme="majorBidi"/>
                <w:sz w:val="18"/>
                <w:szCs w:val="18"/>
              </w:rPr>
              <w:t>nitroimino</w:t>
            </w:r>
            <w:proofErr w:type="spellEnd"/>
            <w:r w:rsidRPr="00B03755">
              <w:rPr>
                <w:rFonts w:ascii="Palatino Linotype" w:hAnsi="Palatino Linotype" w:cstheme="majorBidi"/>
                <w:sz w:val="18"/>
                <w:szCs w:val="18"/>
              </w:rPr>
              <w:t>-</w:t>
            </w:r>
          </w:p>
        </w:tc>
      </w:tr>
      <w:tr w:rsidR="00A33B32" w14:paraId="3BB2E189" w14:textId="77777777" w:rsidTr="003920BF">
        <w:trPr>
          <w:trHeight w:val="497"/>
          <w:jc w:val="center"/>
        </w:trPr>
        <w:tc>
          <w:tcPr>
            <w:tcW w:w="1149" w:type="dxa"/>
            <w:vAlign w:val="center"/>
          </w:tcPr>
          <w:p w14:paraId="1A10F144" w14:textId="14116AA1"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center"/>
              <w:rPr>
                <w:b/>
                <w:bCs/>
                <w:iCs/>
                <w:sz w:val="18"/>
                <w:szCs w:val="18"/>
              </w:rPr>
            </w:pPr>
            <w:r w:rsidRPr="00B03755">
              <w:rPr>
                <w:rFonts w:cstheme="majorBidi"/>
                <w:sz w:val="18"/>
                <w:szCs w:val="18"/>
              </w:rPr>
              <w:t>13</w:t>
            </w:r>
          </w:p>
        </w:tc>
        <w:tc>
          <w:tcPr>
            <w:tcW w:w="1461" w:type="dxa"/>
            <w:vAlign w:val="center"/>
          </w:tcPr>
          <w:p w14:paraId="17047D05" w14:textId="7B345091"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0" w:firstLine="0"/>
              <w:contextualSpacing/>
              <w:jc w:val="left"/>
              <w:rPr>
                <w:b/>
                <w:bCs/>
                <w:iCs/>
                <w:sz w:val="18"/>
                <w:szCs w:val="18"/>
              </w:rPr>
            </w:pPr>
            <w:r w:rsidRPr="00B03755">
              <w:rPr>
                <w:rFonts w:cstheme="majorBidi"/>
                <w:sz w:val="18"/>
                <w:szCs w:val="18"/>
              </w:rPr>
              <w:t>22.098</w:t>
            </w:r>
          </w:p>
        </w:tc>
        <w:tc>
          <w:tcPr>
            <w:tcW w:w="1164" w:type="dxa"/>
            <w:vAlign w:val="center"/>
          </w:tcPr>
          <w:p w14:paraId="223CEEF4" w14:textId="2103BFB7" w:rsidR="0031484A" w:rsidRPr="00B03755" w:rsidRDefault="0031484A" w:rsidP="003920BF">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40" w:lineRule="auto"/>
              <w:ind w:left="0" w:right="543" w:firstLine="0"/>
              <w:contextualSpacing/>
              <w:jc w:val="left"/>
              <w:rPr>
                <w:b/>
                <w:bCs/>
                <w:iCs/>
                <w:sz w:val="18"/>
                <w:szCs w:val="18"/>
              </w:rPr>
            </w:pPr>
            <w:r w:rsidRPr="00B03755">
              <w:rPr>
                <w:rFonts w:cstheme="majorBidi"/>
                <w:sz w:val="18"/>
                <w:szCs w:val="18"/>
              </w:rPr>
              <w:t>1.99</w:t>
            </w:r>
          </w:p>
        </w:tc>
        <w:tc>
          <w:tcPr>
            <w:tcW w:w="6109" w:type="dxa"/>
            <w:gridSpan w:val="3"/>
            <w:vAlign w:val="center"/>
          </w:tcPr>
          <w:p w14:paraId="16A7BAB8" w14:textId="1DE10641" w:rsidR="0031484A" w:rsidRPr="0031484A" w:rsidRDefault="0031484A" w:rsidP="003920BF">
            <w:pPr>
              <w:ind w:left="0" w:right="0" w:firstLine="51"/>
              <w:contextualSpacing/>
              <w:jc w:val="center"/>
              <w:rPr>
                <w:rFonts w:ascii="Palatino Linotype" w:hAnsi="Palatino Linotype" w:cstheme="majorBidi"/>
                <w:sz w:val="18"/>
                <w:szCs w:val="18"/>
              </w:rPr>
            </w:pPr>
            <w:r w:rsidRPr="00B03755">
              <w:rPr>
                <w:rFonts w:ascii="Palatino Linotype" w:hAnsi="Palatino Linotype" w:cstheme="majorBidi"/>
                <w:sz w:val="18"/>
                <w:szCs w:val="18"/>
              </w:rPr>
              <w:t>1H-Pyrimidine-2,4-dione, 5-fluoro-1-(2-hydroxyethoxymethyl)-Hexadecanol</w:t>
            </w:r>
          </w:p>
        </w:tc>
      </w:tr>
    </w:tbl>
    <w:p w14:paraId="450D8797" w14:textId="664148FC" w:rsidR="00B03755" w:rsidRDefault="0031484A" w:rsidP="00B272FE">
      <w:pPr>
        <w:pStyle w:val="Body"/>
        <w:spacing w:before="240" w:after="60" w:line="240" w:lineRule="atLeast"/>
        <w:ind w:left="0" w:right="543" w:firstLine="0"/>
        <w:jc w:val="right"/>
        <w:rPr>
          <w:b/>
          <w:bCs/>
          <w:iCs/>
        </w:rPr>
      </w:pPr>
      <w:r>
        <w:rPr>
          <w:rFonts w:asciiTheme="majorBidi" w:hAnsiTheme="majorBidi" w:cstheme="majorBidi"/>
          <w:b/>
          <w:i/>
          <w:iCs/>
          <w:noProof/>
          <w:sz w:val="22"/>
        </w:rPr>
        <w:drawing>
          <wp:anchor distT="0" distB="0" distL="114300" distR="114300" simplePos="0" relativeHeight="251662336" behindDoc="1" locked="0" layoutInCell="1" allowOverlap="1" wp14:anchorId="7199D8A4" wp14:editId="159ED1D7">
            <wp:simplePos x="0" y="0"/>
            <wp:positionH relativeFrom="column">
              <wp:posOffset>1201536</wp:posOffset>
            </wp:positionH>
            <wp:positionV relativeFrom="paragraph">
              <wp:posOffset>145473</wp:posOffset>
            </wp:positionV>
            <wp:extent cx="4391891" cy="1507132"/>
            <wp:effectExtent l="0" t="0" r="8890" b="0"/>
            <wp:wrapTight wrapText="bothSides">
              <wp:wrapPolygon edited="0">
                <wp:start x="0" y="0"/>
                <wp:lineTo x="0" y="21300"/>
                <wp:lineTo x="21550" y="21300"/>
                <wp:lineTo x="21550" y="0"/>
                <wp:lineTo x="0" y="0"/>
              </wp:wrapPolygon>
            </wp:wrapTight>
            <wp:docPr id="92768118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91891" cy="1507132"/>
                    </a:xfrm>
                    <a:prstGeom prst="rect">
                      <a:avLst/>
                    </a:prstGeom>
                    <a:noFill/>
                    <a:ln>
                      <a:noFill/>
                    </a:ln>
                  </pic:spPr>
                </pic:pic>
              </a:graphicData>
            </a:graphic>
          </wp:anchor>
        </w:drawing>
      </w:r>
    </w:p>
    <w:p w14:paraId="2160A4B1" w14:textId="77777777" w:rsidR="003920BF" w:rsidRDefault="003920BF" w:rsidP="00B272FE">
      <w:pPr>
        <w:pStyle w:val="Body"/>
        <w:spacing w:before="240" w:after="60" w:line="240" w:lineRule="atLeast"/>
        <w:ind w:right="543" w:firstLine="0"/>
        <w:rPr>
          <w:b/>
          <w:bCs/>
          <w:iCs/>
        </w:rPr>
      </w:pPr>
    </w:p>
    <w:p w14:paraId="3A1F000E" w14:textId="77777777" w:rsidR="003920BF" w:rsidRDefault="003920BF" w:rsidP="00B272FE">
      <w:pPr>
        <w:pStyle w:val="Body"/>
        <w:spacing w:before="240" w:after="60" w:line="240" w:lineRule="atLeast"/>
        <w:ind w:right="543" w:firstLine="0"/>
        <w:rPr>
          <w:b/>
          <w:bCs/>
          <w:iCs/>
        </w:rPr>
      </w:pPr>
    </w:p>
    <w:p w14:paraId="296347FE" w14:textId="77777777" w:rsidR="003920BF" w:rsidRDefault="003920BF" w:rsidP="00B272FE">
      <w:pPr>
        <w:pStyle w:val="Body"/>
        <w:spacing w:before="240" w:after="60" w:line="240" w:lineRule="atLeast"/>
        <w:ind w:right="543" w:firstLine="0"/>
        <w:rPr>
          <w:b/>
          <w:bCs/>
          <w:iCs/>
        </w:rPr>
      </w:pPr>
    </w:p>
    <w:p w14:paraId="4B31B32B" w14:textId="77777777" w:rsidR="003920BF" w:rsidRDefault="003920BF" w:rsidP="00B272FE">
      <w:pPr>
        <w:pStyle w:val="Body"/>
        <w:spacing w:before="240" w:after="60" w:line="240" w:lineRule="atLeast"/>
        <w:ind w:right="543" w:firstLine="0"/>
        <w:rPr>
          <w:b/>
          <w:bCs/>
          <w:iCs/>
        </w:rPr>
      </w:pPr>
    </w:p>
    <w:p w14:paraId="5D4F813D" w14:textId="60CD9DF5" w:rsidR="00B03755" w:rsidRPr="00A33B32" w:rsidRDefault="0031484A" w:rsidP="003920BF">
      <w:pPr>
        <w:pStyle w:val="Body"/>
        <w:spacing w:before="240" w:after="60" w:line="240" w:lineRule="atLeast"/>
        <w:ind w:right="543" w:firstLine="0"/>
        <w:jc w:val="center"/>
        <w:rPr>
          <w:iCs/>
        </w:rPr>
      </w:pPr>
      <w:r w:rsidRPr="0031484A">
        <w:rPr>
          <w:b/>
          <w:bCs/>
          <w:iCs/>
        </w:rPr>
        <w:t xml:space="preserve">Figure </w:t>
      </w:r>
      <w:r w:rsidR="00AC4550">
        <w:rPr>
          <w:b/>
          <w:bCs/>
          <w:iCs/>
        </w:rPr>
        <w:t>2</w:t>
      </w:r>
      <w:r>
        <w:rPr>
          <w:iCs/>
        </w:rPr>
        <w:t>:</w:t>
      </w:r>
      <w:r w:rsidRPr="0031484A">
        <w:rPr>
          <w:iCs/>
        </w:rPr>
        <w:t xml:space="preserve"> GC-MS chromatogram </w:t>
      </w:r>
      <w:r w:rsidR="00A33B32" w:rsidRPr="0031484A">
        <w:rPr>
          <w:iCs/>
        </w:rPr>
        <w:t>of Mo</w:t>
      </w:r>
      <w:r w:rsidRPr="0031484A">
        <w:rPr>
          <w:iCs/>
        </w:rPr>
        <w:t xml:space="preserve"> ethanolic Leaves extracts</w:t>
      </w:r>
      <w:r w:rsidR="00DD2E31">
        <w:rPr>
          <w:iCs/>
        </w:rPr>
        <w:t xml:space="preserve">. </w:t>
      </w:r>
      <w:r w:rsidR="00DD2E31" w:rsidRPr="00DD2E31">
        <w:rPr>
          <w:iCs/>
        </w:rPr>
        <w:t xml:space="preserve">Each extract was loaded as a 1 µl </w:t>
      </w:r>
      <w:r w:rsidR="00DD2E31">
        <w:rPr>
          <w:iCs/>
        </w:rPr>
        <w:t xml:space="preserve">in a </w:t>
      </w:r>
      <w:r w:rsidR="00DD2E31" w:rsidRPr="00DD2E31">
        <w:rPr>
          <w:iCs/>
        </w:rPr>
        <w:t>standard capillary column within the mass spectrometer at 100°C for 6 minutes</w:t>
      </w:r>
      <w:r w:rsidR="00DD2E31">
        <w:rPr>
          <w:iCs/>
        </w:rPr>
        <w:t>, then</w:t>
      </w:r>
      <w:r w:rsidR="00DD2E31" w:rsidRPr="00DD2E31">
        <w:rPr>
          <w:iCs/>
        </w:rPr>
        <w:t xml:space="preserve"> gradually increased to 255 C at a rate of 10 C/min and maintained for 10 minutes. Helium</w:t>
      </w:r>
      <w:r w:rsidR="00DD2E31">
        <w:rPr>
          <w:iCs/>
        </w:rPr>
        <w:t xml:space="preserve"> </w:t>
      </w:r>
      <w:r w:rsidR="00DD2E31" w:rsidRPr="00DD2E31">
        <w:rPr>
          <w:iCs/>
        </w:rPr>
        <w:t>was served as the carrier gas</w:t>
      </w:r>
      <w:r w:rsidR="00DD2E31">
        <w:rPr>
          <w:iCs/>
        </w:rPr>
        <w:t xml:space="preserve"> in</w:t>
      </w:r>
      <w:r w:rsidR="00DD2E31" w:rsidRPr="00DD2E31">
        <w:rPr>
          <w:iCs/>
        </w:rPr>
        <w:t xml:space="preserve"> flow rate of 1 ml/min. The mass spectrometer operated in the electron impact (EI) ionization mode with parameters set at 1500 V for the ion source temperature 245 C and 150 C for the MS quad temperature. Mass spectral data were collected using the GC-MSD Agilent Chem Station Software. Identification of the extracted components was based on the comparison of the obtained MS values with the collection of the National Institute of Standards and Technology (NIST).</w:t>
      </w:r>
    </w:p>
    <w:p w14:paraId="6A6760AB" w14:textId="74E0AFAC" w:rsidR="00B03755" w:rsidRDefault="0031484A" w:rsidP="006D3EBC">
      <w:pPr>
        <w:pStyle w:val="Body"/>
        <w:spacing w:before="240" w:after="60" w:line="276" w:lineRule="auto"/>
        <w:ind w:right="543" w:firstLine="0"/>
        <w:rPr>
          <w:iCs/>
        </w:rPr>
      </w:pPr>
      <w:r w:rsidRPr="0031484A">
        <w:rPr>
          <w:iCs/>
        </w:rPr>
        <w:lastRenderedPageBreak/>
        <w:t>Antimicrobial evaluation of antibiotics and Ethanolic Mo extract</w:t>
      </w:r>
    </w:p>
    <w:p w14:paraId="6AC041A2" w14:textId="60819C61" w:rsidR="0031484A" w:rsidRDefault="003920BF" w:rsidP="006D3EBC">
      <w:pPr>
        <w:pStyle w:val="Body"/>
        <w:spacing w:before="240" w:after="60" w:line="276" w:lineRule="auto"/>
        <w:ind w:right="543" w:firstLine="0"/>
        <w:rPr>
          <w:iCs/>
        </w:rPr>
      </w:pPr>
      <w:r>
        <w:rPr>
          <w:rFonts w:asciiTheme="majorBidi" w:hAnsiTheme="majorBidi" w:cstheme="majorBidi"/>
          <w:noProof/>
          <w:sz w:val="24"/>
          <w:szCs w:val="24"/>
          <w14:ligatures w14:val="standardContextual"/>
        </w:rPr>
        <w:drawing>
          <wp:anchor distT="0" distB="0" distL="114300" distR="114300" simplePos="0" relativeHeight="251663360" behindDoc="1" locked="0" layoutInCell="1" allowOverlap="1" wp14:anchorId="6742521E" wp14:editId="2CAD7644">
            <wp:simplePos x="0" y="0"/>
            <wp:positionH relativeFrom="column">
              <wp:posOffset>983269</wp:posOffset>
            </wp:positionH>
            <wp:positionV relativeFrom="paragraph">
              <wp:posOffset>1718714</wp:posOffset>
            </wp:positionV>
            <wp:extent cx="4854863" cy="2319785"/>
            <wp:effectExtent l="0" t="0" r="3175" b="4445"/>
            <wp:wrapTight wrapText="bothSides">
              <wp:wrapPolygon edited="0">
                <wp:start x="0" y="0"/>
                <wp:lineTo x="0" y="21464"/>
                <wp:lineTo x="21529" y="21464"/>
                <wp:lineTo x="21529" y="0"/>
                <wp:lineTo x="0" y="0"/>
              </wp:wrapPolygon>
            </wp:wrapTight>
            <wp:docPr id="17143180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54863" cy="2319785"/>
                    </a:xfrm>
                    <a:prstGeom prst="rect">
                      <a:avLst/>
                    </a:prstGeom>
                    <a:noFill/>
                    <a:ln>
                      <a:noFill/>
                    </a:ln>
                  </pic:spPr>
                </pic:pic>
              </a:graphicData>
            </a:graphic>
          </wp:anchor>
        </w:drawing>
      </w:r>
      <w:r w:rsidR="0031484A" w:rsidRPr="0031484A">
        <w:rPr>
          <w:iCs/>
        </w:rPr>
        <w:t xml:space="preserve">The outcomes of the agar well diffusion test demonstrated that Mo leaves exhibited a dose-dependent antimicrobial effect across all examined concentrations. The smallest average inhibition zone measured 5 ±0.3 mm at a concentration of 25 mg/ml, while the largest inhibition zone, measuring 13±0.5 mm, was observed at a concentration of 100 mg/ml as showed in Figure </w:t>
      </w:r>
      <w:r w:rsidR="00F96569">
        <w:rPr>
          <w:iCs/>
        </w:rPr>
        <w:t>3</w:t>
      </w:r>
      <w:r w:rsidR="0031484A" w:rsidRPr="0031484A">
        <w:rPr>
          <w:iCs/>
        </w:rPr>
        <w:t xml:space="preserve">A. In contrast, CHX 0.12% consistently exhibited the most substantial inhibition zone, measuring 18.2±0.2 mm, in comparison to Mo leaves. Nevertheless, no antibacterial activity was evident across concentrations of Augmentin (30 µg), while metronidazole (5 µg) showed </w:t>
      </w:r>
      <w:r w:rsidR="002F666A">
        <w:rPr>
          <w:iCs/>
        </w:rPr>
        <w:t>2</w:t>
      </w:r>
      <w:r w:rsidR="0031484A" w:rsidRPr="0031484A">
        <w:rPr>
          <w:iCs/>
        </w:rPr>
        <w:t xml:space="preserve"> ±0.3 mm inhibition zone against </w:t>
      </w:r>
      <w:r w:rsidR="0031484A" w:rsidRPr="002251F3">
        <w:rPr>
          <w:i/>
        </w:rPr>
        <w:t>P. gingivalis</w:t>
      </w:r>
      <w:r w:rsidR="00E73B88">
        <w:rPr>
          <w:i/>
        </w:rPr>
        <w:t xml:space="preserve"> </w:t>
      </w:r>
      <w:r w:rsidR="0031484A" w:rsidRPr="0031484A">
        <w:rPr>
          <w:iCs/>
        </w:rPr>
        <w:t xml:space="preserve">as showed in Table </w:t>
      </w:r>
      <w:r w:rsidR="00F96569">
        <w:rPr>
          <w:iCs/>
        </w:rPr>
        <w:t>2</w:t>
      </w:r>
      <w:r w:rsidR="0031484A" w:rsidRPr="0031484A">
        <w:rPr>
          <w:iCs/>
        </w:rPr>
        <w:t xml:space="preserve"> and Figure </w:t>
      </w:r>
      <w:r w:rsidR="00F96569">
        <w:rPr>
          <w:iCs/>
        </w:rPr>
        <w:t>3</w:t>
      </w:r>
      <w:r w:rsidR="0031484A" w:rsidRPr="0031484A">
        <w:rPr>
          <w:iCs/>
        </w:rPr>
        <w:t>B</w:t>
      </w:r>
      <w:r w:rsidR="0070070D">
        <w:rPr>
          <w:iCs/>
        </w:rPr>
        <w:t>.</w:t>
      </w:r>
    </w:p>
    <w:p w14:paraId="3BC60520" w14:textId="39FE0138" w:rsidR="0031484A" w:rsidRDefault="0031484A" w:rsidP="001F7448">
      <w:pPr>
        <w:pStyle w:val="Body"/>
        <w:spacing w:before="240" w:after="60" w:line="240" w:lineRule="atLeast"/>
        <w:ind w:right="543" w:firstLine="0"/>
        <w:jc w:val="right"/>
        <w:rPr>
          <w:iCs/>
        </w:rPr>
      </w:pPr>
    </w:p>
    <w:p w14:paraId="176A768F" w14:textId="5EF2BE2D" w:rsidR="0031484A" w:rsidRDefault="0031484A" w:rsidP="003920BF">
      <w:pPr>
        <w:pStyle w:val="Body"/>
        <w:spacing w:before="240" w:after="60" w:line="240" w:lineRule="atLeast"/>
        <w:ind w:left="993" w:right="543" w:hanging="11"/>
        <w:jc w:val="center"/>
        <w:rPr>
          <w:iCs/>
        </w:rPr>
      </w:pPr>
      <w:r w:rsidRPr="0031484A">
        <w:rPr>
          <w:b/>
          <w:bCs/>
          <w:iCs/>
        </w:rPr>
        <w:t xml:space="preserve">Figure </w:t>
      </w:r>
      <w:r w:rsidR="00F96569">
        <w:rPr>
          <w:b/>
          <w:bCs/>
          <w:iCs/>
        </w:rPr>
        <w:t>3</w:t>
      </w:r>
      <w:r w:rsidRPr="0031484A">
        <w:rPr>
          <w:b/>
          <w:bCs/>
          <w:iCs/>
        </w:rPr>
        <w:t>:</w:t>
      </w:r>
      <w:r w:rsidRPr="0031484A">
        <w:rPr>
          <w:iCs/>
        </w:rPr>
        <w:t xml:space="preserve"> The inhibition zone around the antibiotics and extract</w:t>
      </w:r>
      <w:r w:rsidR="00A73AE9">
        <w:rPr>
          <w:iCs/>
        </w:rPr>
        <w:t xml:space="preserve"> was detected using </w:t>
      </w:r>
      <w:r w:rsidR="00A73AE9" w:rsidRPr="00A73AE9">
        <w:rPr>
          <w:rFonts w:eastAsia="SimSun" w:cs="Times New Roman"/>
          <w:noProof/>
          <w:szCs w:val="24"/>
          <w:bdr w:val="none" w:sz="0" w:space="0" w:color="auto"/>
          <w:lang w:eastAsia="zh-CN"/>
          <w14:textOutline w14:w="0" w14:cap="rnd" w14:cmpd="sng" w14:algn="ctr">
            <w14:noFill/>
            <w14:prstDash w14:val="solid"/>
            <w14:bevel/>
          </w14:textOutline>
        </w:rPr>
        <w:t>Agar well and disk diffusion test</w:t>
      </w:r>
      <w:r w:rsidR="00A73AE9">
        <w:rPr>
          <w:rFonts w:eastAsia="SimSun" w:cs="Times New Roman"/>
          <w:noProof/>
          <w:szCs w:val="24"/>
          <w:bdr w:val="none" w:sz="0" w:space="0" w:color="auto"/>
          <w:lang w:eastAsia="zh-CN"/>
          <w14:textOutline w14:w="0" w14:cap="rnd" w14:cmpd="sng" w14:algn="ctr">
            <w14:noFill/>
            <w14:prstDash w14:val="solid"/>
            <w14:bevel/>
          </w14:textOutline>
        </w:rPr>
        <w:t>. (</w:t>
      </w:r>
      <w:r w:rsidRPr="0031484A">
        <w:rPr>
          <w:iCs/>
        </w:rPr>
        <w:t>A) Mo Leaves showed inhibition zone at concentrations</w:t>
      </w:r>
      <w:r w:rsidR="00A73AE9">
        <w:rPr>
          <w:iCs/>
        </w:rPr>
        <w:t xml:space="preserve"> 25 and 50 mg/ml</w:t>
      </w:r>
      <w:r w:rsidRPr="0031484A">
        <w:rPr>
          <w:iCs/>
        </w:rPr>
        <w:t xml:space="preserve"> to</w:t>
      </w:r>
      <w:r w:rsidR="0070070D">
        <w:rPr>
          <w:iCs/>
        </w:rPr>
        <w:t xml:space="preserve"> </w:t>
      </w:r>
      <w:r w:rsidRPr="002251F3">
        <w:rPr>
          <w:i/>
        </w:rPr>
        <w:t>P. gingivalis</w:t>
      </w:r>
      <w:r w:rsidRPr="0031484A">
        <w:rPr>
          <w:iCs/>
        </w:rPr>
        <w:t xml:space="preserve">; (B) </w:t>
      </w:r>
      <w:r w:rsidR="00CD61F9">
        <w:rPr>
          <w:iCs/>
        </w:rPr>
        <w:t>T</w:t>
      </w:r>
      <w:r w:rsidRPr="0031484A">
        <w:rPr>
          <w:iCs/>
        </w:rPr>
        <w:t xml:space="preserve">here is no inhibition zone around </w:t>
      </w:r>
      <w:r w:rsidR="00CD61F9" w:rsidRPr="00A73AE9">
        <w:rPr>
          <w:rFonts w:eastAsia="SimSun" w:cs="Times New Roman"/>
          <w:noProof/>
          <w:szCs w:val="24"/>
          <w:bdr w:val="none" w:sz="0" w:space="0" w:color="auto"/>
          <w:lang w:eastAsia="zh-CN"/>
          <w14:textOutline w14:w="0" w14:cap="rnd" w14:cmpd="sng" w14:algn="ctr">
            <w14:noFill/>
            <w14:prstDash w14:val="solid"/>
            <w14:bevel/>
          </w14:textOutline>
        </w:rPr>
        <w:t>30 μg</w:t>
      </w:r>
      <w:r w:rsidR="00CD61F9" w:rsidRPr="0031484A">
        <w:rPr>
          <w:iCs/>
        </w:rPr>
        <w:t xml:space="preserve"> </w:t>
      </w:r>
      <w:r w:rsidRPr="0031484A">
        <w:rPr>
          <w:iCs/>
        </w:rPr>
        <w:t xml:space="preserve">Augmentin (AMC) and </w:t>
      </w:r>
      <w:r w:rsidR="00CD61F9" w:rsidRPr="00A73AE9">
        <w:rPr>
          <w:rFonts w:eastAsia="SimSun" w:cs="Times New Roman"/>
          <w:noProof/>
          <w:szCs w:val="24"/>
          <w:bdr w:val="none" w:sz="0" w:space="0" w:color="auto"/>
          <w:lang w:eastAsia="zh-CN"/>
          <w14:textOutline w14:w="0" w14:cap="rnd" w14:cmpd="sng" w14:algn="ctr">
            <w14:noFill/>
            <w14:prstDash w14:val="solid"/>
            <w14:bevel/>
          </w14:textOutline>
        </w:rPr>
        <w:t>5 μg</w:t>
      </w:r>
      <w:r w:rsidR="00CD61F9" w:rsidRPr="0031484A">
        <w:rPr>
          <w:iCs/>
        </w:rPr>
        <w:t xml:space="preserve"> </w:t>
      </w:r>
      <w:r w:rsidRPr="0031484A">
        <w:rPr>
          <w:iCs/>
        </w:rPr>
        <w:t xml:space="preserve">Metronidazole (MZ) disks which indicate no sensitivity to </w:t>
      </w:r>
      <w:r w:rsidRPr="002251F3">
        <w:rPr>
          <w:i/>
        </w:rPr>
        <w:t>P. gingivalis</w:t>
      </w:r>
      <w:r w:rsidRPr="0031484A">
        <w:rPr>
          <w:iCs/>
        </w:rPr>
        <w:t xml:space="preserve"> while </w:t>
      </w:r>
      <w:r w:rsidR="00CD61F9" w:rsidRPr="00A73AE9">
        <w:rPr>
          <w:rFonts w:eastAsia="SimSun" w:cs="Times New Roman"/>
          <w:noProof/>
          <w:szCs w:val="24"/>
          <w:bdr w:val="none" w:sz="0" w:space="0" w:color="auto"/>
          <w:lang w:eastAsia="zh-CN"/>
          <w14:textOutline w14:w="0" w14:cap="rnd" w14:cmpd="sng" w14:algn="ctr">
            <w14:noFill/>
            <w14:prstDash w14:val="solid"/>
            <w14:bevel/>
          </w14:textOutline>
        </w:rPr>
        <w:t xml:space="preserve">0.12% </w:t>
      </w:r>
      <w:r w:rsidRPr="0031484A">
        <w:rPr>
          <w:iCs/>
        </w:rPr>
        <w:t>Chlorohexidine (CHX) was sensitive.</w:t>
      </w:r>
      <w:r w:rsidR="00CD61F9">
        <w:rPr>
          <w:iCs/>
        </w:rPr>
        <w:t xml:space="preserve"> </w:t>
      </w:r>
      <w:r w:rsidR="00CD61F9" w:rsidRPr="00A73AE9">
        <w:rPr>
          <w:rFonts w:eastAsia="SimSun" w:cs="Times New Roman"/>
          <w:noProof/>
          <w:szCs w:val="24"/>
          <w:bdr w:val="none" w:sz="0" w:space="0" w:color="auto"/>
          <w:lang w:eastAsia="zh-CN"/>
          <w14:textOutline w14:w="0" w14:cap="rnd" w14:cmpd="sng" w14:algn="ctr">
            <w14:noFill/>
            <w14:prstDash w14:val="solid"/>
            <w14:bevel/>
          </w14:textOutline>
        </w:rPr>
        <w:t>All plates were then anaerobically incubated for 48 hours at 36.5°C. The diameter of the inhibition zones was assessed using vernier caliper and recorded as the average width of the inhibition zone surrounding each well containing the extracts solutions</w:t>
      </w:r>
    </w:p>
    <w:p w14:paraId="75D3B400" w14:textId="1E377893" w:rsidR="00B03755" w:rsidRPr="0031484A" w:rsidRDefault="0031484A" w:rsidP="00B272FE">
      <w:pPr>
        <w:pStyle w:val="Body"/>
        <w:spacing w:before="240" w:after="60" w:line="240" w:lineRule="atLeast"/>
        <w:ind w:right="543" w:firstLine="0"/>
        <w:jc w:val="center"/>
        <w:rPr>
          <w:iCs/>
        </w:rPr>
      </w:pPr>
      <w:r w:rsidRPr="0031484A">
        <w:rPr>
          <w:b/>
          <w:bCs/>
          <w:iCs/>
        </w:rPr>
        <w:t xml:space="preserve">Table </w:t>
      </w:r>
      <w:r w:rsidR="00F96569">
        <w:rPr>
          <w:b/>
          <w:bCs/>
          <w:iCs/>
        </w:rPr>
        <w:t>2</w:t>
      </w:r>
      <w:r w:rsidRPr="0031484A">
        <w:rPr>
          <w:b/>
          <w:bCs/>
          <w:iCs/>
        </w:rPr>
        <w:t>:</w:t>
      </w:r>
      <w:r w:rsidRPr="0031484A">
        <w:rPr>
          <w:iCs/>
        </w:rPr>
        <w:t xml:space="preserve"> Sensitivity of </w:t>
      </w:r>
      <w:r w:rsidRPr="0031484A">
        <w:rPr>
          <w:i/>
        </w:rPr>
        <w:t>P. gingivalis</w:t>
      </w:r>
      <w:r w:rsidRPr="0031484A">
        <w:rPr>
          <w:iCs/>
        </w:rPr>
        <w:t xml:space="preserve"> to different concentrations of Mo ethanolic Leaves extract</w:t>
      </w:r>
    </w:p>
    <w:tbl>
      <w:tblPr>
        <w:tblW w:w="0" w:type="auto"/>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2694"/>
        <w:gridCol w:w="2601"/>
        <w:gridCol w:w="1927"/>
        <w:gridCol w:w="1387"/>
      </w:tblGrid>
      <w:tr w:rsidR="0031484A" w:rsidRPr="0031484A" w14:paraId="213B578E" w14:textId="77777777" w:rsidTr="003920BF">
        <w:trPr>
          <w:trHeight w:val="480"/>
          <w:jc w:val="center"/>
        </w:trPr>
        <w:tc>
          <w:tcPr>
            <w:tcW w:w="2694" w:type="dxa"/>
            <w:tcBorders>
              <w:top w:val="single" w:sz="4" w:space="0" w:color="auto"/>
              <w:bottom w:val="single" w:sz="4" w:space="0" w:color="auto"/>
            </w:tcBorders>
            <w:vAlign w:val="center"/>
          </w:tcPr>
          <w:p w14:paraId="41B5F7C0" w14:textId="77777777" w:rsidR="0031484A" w:rsidRPr="0031484A" w:rsidRDefault="0031484A" w:rsidP="00B272FE">
            <w:pPr>
              <w:pStyle w:val="TableParagraph"/>
              <w:spacing w:before="66" w:line="276" w:lineRule="auto"/>
              <w:ind w:left="142" w:right="543"/>
              <w:rPr>
                <w:rFonts w:ascii="Palatino Linotype" w:hAnsi="Palatino Linotype" w:cstheme="majorBidi"/>
                <w:b/>
                <w:sz w:val="18"/>
                <w:szCs w:val="18"/>
              </w:rPr>
            </w:pPr>
            <w:r w:rsidRPr="0031484A">
              <w:rPr>
                <w:rFonts w:ascii="Palatino Linotype" w:hAnsi="Palatino Linotype" w:cstheme="majorBidi"/>
                <w:b/>
                <w:sz w:val="18"/>
                <w:szCs w:val="18"/>
              </w:rPr>
              <w:t>Mo Ethanolic Leaves Extract/CHX/Antibiotics</w:t>
            </w:r>
          </w:p>
        </w:tc>
        <w:tc>
          <w:tcPr>
            <w:tcW w:w="2601" w:type="dxa"/>
            <w:tcBorders>
              <w:top w:val="single" w:sz="4" w:space="0" w:color="auto"/>
              <w:bottom w:val="single" w:sz="4" w:space="0" w:color="auto"/>
            </w:tcBorders>
            <w:vAlign w:val="center"/>
          </w:tcPr>
          <w:p w14:paraId="7CEE4887" w14:textId="77777777" w:rsidR="0031484A" w:rsidRPr="0031484A" w:rsidRDefault="0031484A" w:rsidP="00B272FE">
            <w:pPr>
              <w:pStyle w:val="TableParagraph"/>
              <w:spacing w:before="66" w:line="276" w:lineRule="auto"/>
              <w:ind w:left="394" w:right="543"/>
              <w:rPr>
                <w:rFonts w:ascii="Palatino Linotype" w:hAnsi="Palatino Linotype" w:cstheme="majorBidi"/>
                <w:b/>
                <w:sz w:val="18"/>
                <w:szCs w:val="18"/>
              </w:rPr>
            </w:pPr>
            <w:r w:rsidRPr="0031484A">
              <w:rPr>
                <w:rFonts w:ascii="Palatino Linotype" w:hAnsi="Palatino Linotype" w:cstheme="majorBidi"/>
                <w:b/>
                <w:sz w:val="18"/>
                <w:szCs w:val="18"/>
              </w:rPr>
              <w:t>Inhibition</w:t>
            </w:r>
            <w:r w:rsidRPr="0031484A">
              <w:rPr>
                <w:rFonts w:ascii="Palatino Linotype" w:hAnsi="Palatino Linotype" w:cstheme="majorBidi"/>
                <w:b/>
                <w:spacing w:val="-7"/>
                <w:sz w:val="18"/>
                <w:szCs w:val="18"/>
              </w:rPr>
              <w:t xml:space="preserve"> </w:t>
            </w:r>
            <w:r w:rsidRPr="0031484A">
              <w:rPr>
                <w:rFonts w:ascii="Palatino Linotype" w:hAnsi="Palatino Linotype" w:cstheme="majorBidi"/>
                <w:b/>
                <w:sz w:val="18"/>
                <w:szCs w:val="18"/>
              </w:rPr>
              <w:t>zone</w:t>
            </w:r>
            <w:r w:rsidRPr="0031484A">
              <w:rPr>
                <w:rFonts w:ascii="Palatino Linotype" w:hAnsi="Palatino Linotype" w:cstheme="majorBidi"/>
                <w:b/>
                <w:spacing w:val="-6"/>
                <w:sz w:val="18"/>
                <w:szCs w:val="18"/>
              </w:rPr>
              <w:t xml:space="preserve"> </w:t>
            </w:r>
            <w:r w:rsidRPr="0031484A">
              <w:rPr>
                <w:rFonts w:ascii="Palatino Linotype" w:hAnsi="Palatino Linotype" w:cstheme="majorBidi"/>
                <w:b/>
                <w:spacing w:val="-4"/>
                <w:sz w:val="18"/>
                <w:szCs w:val="18"/>
              </w:rPr>
              <w:t>(mm)</w:t>
            </w:r>
          </w:p>
        </w:tc>
        <w:tc>
          <w:tcPr>
            <w:tcW w:w="1927" w:type="dxa"/>
            <w:tcBorders>
              <w:top w:val="single" w:sz="4" w:space="0" w:color="auto"/>
              <w:bottom w:val="single" w:sz="4" w:space="0" w:color="auto"/>
            </w:tcBorders>
            <w:vAlign w:val="center"/>
          </w:tcPr>
          <w:p w14:paraId="5C6163B2" w14:textId="77777777" w:rsidR="0031484A" w:rsidRPr="0031484A" w:rsidRDefault="0031484A" w:rsidP="00B272FE">
            <w:pPr>
              <w:pStyle w:val="TableParagraph"/>
              <w:spacing w:before="66" w:line="276" w:lineRule="auto"/>
              <w:ind w:left="141" w:right="543"/>
              <w:rPr>
                <w:rFonts w:ascii="Palatino Linotype" w:hAnsi="Palatino Linotype" w:cstheme="majorBidi"/>
                <w:b/>
                <w:sz w:val="18"/>
                <w:szCs w:val="18"/>
              </w:rPr>
            </w:pPr>
            <w:r w:rsidRPr="0031484A">
              <w:rPr>
                <w:rFonts w:ascii="Palatino Linotype" w:hAnsi="Palatino Linotype" w:cstheme="majorBidi"/>
                <w:b/>
                <w:sz w:val="18"/>
                <w:szCs w:val="18"/>
              </w:rPr>
              <w:t>Standard</w:t>
            </w:r>
            <w:r w:rsidRPr="0031484A">
              <w:rPr>
                <w:rFonts w:ascii="Palatino Linotype" w:hAnsi="Palatino Linotype" w:cstheme="majorBidi"/>
                <w:b/>
                <w:spacing w:val="-10"/>
                <w:sz w:val="18"/>
                <w:szCs w:val="18"/>
              </w:rPr>
              <w:t xml:space="preserve"> </w:t>
            </w:r>
            <w:r w:rsidRPr="0031484A">
              <w:rPr>
                <w:rFonts w:ascii="Palatino Linotype" w:hAnsi="Palatino Linotype" w:cstheme="majorBidi"/>
                <w:b/>
                <w:spacing w:val="-2"/>
                <w:sz w:val="18"/>
                <w:szCs w:val="18"/>
              </w:rPr>
              <w:t>deviation</w:t>
            </w:r>
          </w:p>
        </w:tc>
        <w:tc>
          <w:tcPr>
            <w:tcW w:w="1387" w:type="dxa"/>
            <w:tcBorders>
              <w:top w:val="single" w:sz="4" w:space="0" w:color="auto"/>
              <w:bottom w:val="single" w:sz="4" w:space="0" w:color="auto"/>
            </w:tcBorders>
            <w:vAlign w:val="center"/>
          </w:tcPr>
          <w:p w14:paraId="1F3A78DC" w14:textId="77777777" w:rsidR="0031484A" w:rsidRPr="0031484A" w:rsidRDefault="0031484A" w:rsidP="00B272FE">
            <w:pPr>
              <w:pStyle w:val="TableParagraph"/>
              <w:spacing w:before="66" w:line="276" w:lineRule="auto"/>
              <w:ind w:left="258" w:right="543"/>
              <w:rPr>
                <w:rFonts w:ascii="Palatino Linotype" w:hAnsi="Palatino Linotype" w:cstheme="majorBidi"/>
                <w:b/>
                <w:sz w:val="18"/>
                <w:szCs w:val="18"/>
              </w:rPr>
            </w:pPr>
            <w:r w:rsidRPr="0031484A">
              <w:rPr>
                <w:rFonts w:ascii="Palatino Linotype" w:hAnsi="Palatino Linotype" w:cstheme="majorBidi"/>
                <w:b/>
                <w:i/>
                <w:sz w:val="18"/>
                <w:szCs w:val="18"/>
              </w:rPr>
              <w:t>P</w:t>
            </w:r>
            <w:r w:rsidRPr="0031484A">
              <w:rPr>
                <w:rFonts w:ascii="Palatino Linotype" w:hAnsi="Palatino Linotype" w:cstheme="majorBidi"/>
                <w:b/>
                <w:sz w:val="18"/>
                <w:szCs w:val="18"/>
              </w:rPr>
              <w:t>-</w:t>
            </w:r>
            <w:r w:rsidRPr="0031484A">
              <w:rPr>
                <w:rFonts w:ascii="Palatino Linotype" w:hAnsi="Palatino Linotype" w:cstheme="majorBidi"/>
                <w:b/>
                <w:spacing w:val="-2"/>
                <w:sz w:val="18"/>
                <w:szCs w:val="18"/>
              </w:rPr>
              <w:t>value</w:t>
            </w:r>
          </w:p>
        </w:tc>
      </w:tr>
      <w:tr w:rsidR="0031484A" w:rsidRPr="0031484A" w14:paraId="535391D3" w14:textId="77777777" w:rsidTr="003920BF">
        <w:trPr>
          <w:trHeight w:val="480"/>
          <w:jc w:val="center"/>
        </w:trPr>
        <w:tc>
          <w:tcPr>
            <w:tcW w:w="2694" w:type="dxa"/>
            <w:tcBorders>
              <w:top w:val="single" w:sz="4" w:space="0" w:color="auto"/>
              <w:bottom w:val="single" w:sz="12" w:space="0" w:color="FFFFFF" w:themeColor="background1"/>
              <w:right w:val="nil"/>
            </w:tcBorders>
            <w:vAlign w:val="center"/>
          </w:tcPr>
          <w:p w14:paraId="7C9AAEEF" w14:textId="075B0F28" w:rsidR="0031484A" w:rsidRPr="003920BF" w:rsidRDefault="0031484A" w:rsidP="00AD3CAE">
            <w:pPr>
              <w:pStyle w:val="TableParagraph"/>
              <w:spacing w:line="276" w:lineRule="auto"/>
              <w:ind w:left="142" w:right="543"/>
              <w:rPr>
                <w:rFonts w:ascii="Palatino Linotype" w:hAnsi="Palatino Linotype" w:cstheme="majorBidi"/>
                <w:b/>
                <w:bCs/>
                <w:sz w:val="18"/>
                <w:szCs w:val="18"/>
              </w:rPr>
            </w:pPr>
            <w:r w:rsidRPr="003920BF">
              <w:rPr>
                <w:rFonts w:ascii="Palatino Linotype" w:hAnsi="Palatino Linotype" w:cstheme="majorBidi"/>
                <w:b/>
                <w:bCs/>
                <w:sz w:val="18"/>
                <w:szCs w:val="18"/>
              </w:rPr>
              <w:t>CHX</w:t>
            </w:r>
            <w:r w:rsidRPr="003920BF">
              <w:rPr>
                <w:rFonts w:ascii="Palatino Linotype" w:hAnsi="Palatino Linotype" w:cstheme="majorBidi"/>
                <w:b/>
                <w:bCs/>
                <w:spacing w:val="-3"/>
                <w:sz w:val="18"/>
                <w:szCs w:val="18"/>
              </w:rPr>
              <w:t xml:space="preserve"> </w:t>
            </w:r>
            <w:r w:rsidRPr="003920BF">
              <w:rPr>
                <w:rFonts w:ascii="Palatino Linotype" w:hAnsi="Palatino Linotype" w:cstheme="majorBidi"/>
                <w:b/>
                <w:bCs/>
                <w:spacing w:val="-2"/>
                <w:sz w:val="18"/>
                <w:szCs w:val="18"/>
              </w:rPr>
              <w:t>(0.12%)</w:t>
            </w:r>
          </w:p>
        </w:tc>
        <w:tc>
          <w:tcPr>
            <w:tcW w:w="2601" w:type="dxa"/>
            <w:tcBorders>
              <w:top w:val="single" w:sz="4" w:space="0" w:color="auto"/>
              <w:left w:val="nil"/>
              <w:bottom w:val="single" w:sz="12" w:space="0" w:color="FFFFFF" w:themeColor="background1"/>
              <w:right w:val="nil"/>
            </w:tcBorders>
            <w:vAlign w:val="center"/>
          </w:tcPr>
          <w:p w14:paraId="55360A8C" w14:textId="52D3F950" w:rsidR="0031484A" w:rsidRPr="0031484A" w:rsidRDefault="0031484A" w:rsidP="00B272FE">
            <w:pPr>
              <w:pStyle w:val="TableParagraph"/>
              <w:spacing w:line="276" w:lineRule="auto"/>
              <w:ind w:left="365" w:right="543"/>
              <w:rPr>
                <w:rFonts w:ascii="Palatino Linotype" w:hAnsi="Palatino Linotype" w:cstheme="majorBidi"/>
                <w:sz w:val="18"/>
                <w:szCs w:val="18"/>
              </w:rPr>
            </w:pPr>
            <w:r w:rsidRPr="0031484A">
              <w:rPr>
                <w:rFonts w:ascii="Palatino Linotype" w:hAnsi="Palatino Linotype" w:cstheme="majorBidi"/>
                <w:spacing w:val="-2"/>
                <w:sz w:val="18"/>
                <w:szCs w:val="18"/>
              </w:rPr>
              <w:t>18</w:t>
            </w:r>
          </w:p>
        </w:tc>
        <w:tc>
          <w:tcPr>
            <w:tcW w:w="1927" w:type="dxa"/>
            <w:tcBorders>
              <w:top w:val="single" w:sz="4" w:space="0" w:color="auto"/>
              <w:left w:val="nil"/>
              <w:bottom w:val="single" w:sz="12" w:space="0" w:color="FFFFFF" w:themeColor="background1"/>
              <w:right w:val="nil"/>
            </w:tcBorders>
            <w:vAlign w:val="center"/>
          </w:tcPr>
          <w:p w14:paraId="153F834A" w14:textId="77777777" w:rsidR="0031484A" w:rsidRPr="0031484A" w:rsidRDefault="0031484A" w:rsidP="00B272FE">
            <w:pPr>
              <w:pStyle w:val="TableParagraph"/>
              <w:spacing w:line="276" w:lineRule="auto"/>
              <w:ind w:left="585" w:right="543"/>
              <w:rPr>
                <w:rFonts w:ascii="Palatino Linotype" w:hAnsi="Palatino Linotype" w:cstheme="majorBidi"/>
                <w:sz w:val="18"/>
                <w:szCs w:val="18"/>
              </w:rPr>
            </w:pPr>
            <w:r w:rsidRPr="0031484A">
              <w:rPr>
                <w:rFonts w:ascii="Palatino Linotype" w:hAnsi="Palatino Linotype" w:cstheme="majorBidi"/>
                <w:spacing w:val="-2"/>
                <w:sz w:val="18"/>
                <w:szCs w:val="18"/>
              </w:rPr>
              <w:t>0.284</w:t>
            </w:r>
            <w:r w:rsidRPr="0031484A">
              <w:rPr>
                <w:rFonts w:ascii="Palatino Linotype" w:hAnsi="Palatino Linotype" w:cstheme="majorBidi"/>
                <w:b/>
                <w:sz w:val="18"/>
                <w:szCs w:val="18"/>
              </w:rPr>
              <w:t>*</w:t>
            </w:r>
            <w:r w:rsidRPr="0031484A">
              <w:rPr>
                <w:rFonts w:ascii="Palatino Linotype" w:hAnsi="Palatino Linotype" w:cstheme="majorBidi"/>
                <w:b/>
                <w:spacing w:val="-3"/>
                <w:sz w:val="18"/>
                <w:szCs w:val="18"/>
              </w:rPr>
              <w:t xml:space="preserve"> </w:t>
            </w:r>
            <w:r w:rsidRPr="0031484A">
              <w:rPr>
                <w:rFonts w:ascii="Palatino Linotype" w:hAnsi="Palatino Linotype" w:cstheme="majorBidi"/>
                <w:b/>
                <w:spacing w:val="-10"/>
                <w:sz w:val="18"/>
                <w:szCs w:val="18"/>
              </w:rPr>
              <w:t>^</w:t>
            </w:r>
          </w:p>
        </w:tc>
        <w:tc>
          <w:tcPr>
            <w:tcW w:w="1387" w:type="dxa"/>
            <w:vMerge w:val="restart"/>
            <w:tcBorders>
              <w:top w:val="single" w:sz="4" w:space="0" w:color="auto"/>
              <w:left w:val="nil"/>
            </w:tcBorders>
            <w:vAlign w:val="center"/>
          </w:tcPr>
          <w:p w14:paraId="409C6CF9" w14:textId="4B613019" w:rsidR="0031484A" w:rsidRPr="0031484A" w:rsidRDefault="0031484A" w:rsidP="00B272FE">
            <w:pPr>
              <w:pStyle w:val="TableParagraph"/>
              <w:spacing w:line="276" w:lineRule="auto"/>
              <w:ind w:right="543"/>
              <w:rPr>
                <w:rFonts w:ascii="Palatino Linotype" w:hAnsi="Palatino Linotype" w:cstheme="majorBidi"/>
                <w:spacing w:val="-2"/>
                <w:sz w:val="18"/>
                <w:szCs w:val="18"/>
              </w:rPr>
            </w:pPr>
            <w:r w:rsidRPr="0031484A">
              <w:rPr>
                <w:rFonts w:ascii="Palatino Linotype" w:hAnsi="Palatino Linotype" w:cstheme="majorBidi"/>
                <w:spacing w:val="-2"/>
                <w:sz w:val="18"/>
                <w:szCs w:val="18"/>
              </w:rPr>
              <w:t>0.000</w:t>
            </w:r>
          </w:p>
          <w:p w14:paraId="4C0D640C" w14:textId="77777777" w:rsidR="0031484A" w:rsidRPr="0031484A" w:rsidRDefault="0031484A" w:rsidP="00B272FE">
            <w:pPr>
              <w:ind w:right="543"/>
              <w:jc w:val="center"/>
              <w:rPr>
                <w:rFonts w:ascii="Palatino Linotype" w:hAnsi="Palatino Linotype" w:cstheme="majorBidi"/>
                <w:spacing w:val="-2"/>
                <w:sz w:val="18"/>
                <w:szCs w:val="18"/>
              </w:rPr>
            </w:pPr>
          </w:p>
          <w:p w14:paraId="38C40729" w14:textId="77777777" w:rsidR="0031484A" w:rsidRPr="0031484A" w:rsidRDefault="0031484A" w:rsidP="00B272FE">
            <w:pPr>
              <w:ind w:right="543"/>
              <w:jc w:val="center"/>
              <w:rPr>
                <w:rFonts w:ascii="Palatino Linotype" w:hAnsi="Palatino Linotype" w:cstheme="majorBidi"/>
                <w:sz w:val="18"/>
                <w:szCs w:val="18"/>
              </w:rPr>
            </w:pPr>
          </w:p>
        </w:tc>
      </w:tr>
      <w:tr w:rsidR="0031484A" w:rsidRPr="0031484A" w14:paraId="3FC4C206" w14:textId="77777777" w:rsidTr="003920BF">
        <w:trPr>
          <w:trHeight w:val="480"/>
          <w:jc w:val="center"/>
        </w:trPr>
        <w:tc>
          <w:tcPr>
            <w:tcW w:w="2694" w:type="dxa"/>
            <w:tcBorders>
              <w:top w:val="single" w:sz="12" w:space="0" w:color="FFFFFF" w:themeColor="background1"/>
              <w:bottom w:val="single" w:sz="12" w:space="0" w:color="FFFFFF" w:themeColor="background1"/>
              <w:right w:val="nil"/>
            </w:tcBorders>
            <w:vAlign w:val="center"/>
          </w:tcPr>
          <w:p w14:paraId="480E3500" w14:textId="6A7EFC42" w:rsidR="0031484A" w:rsidRPr="003920BF" w:rsidRDefault="0031484A" w:rsidP="00AD3CAE">
            <w:pPr>
              <w:pStyle w:val="TableParagraph"/>
              <w:spacing w:line="276" w:lineRule="auto"/>
              <w:ind w:left="142" w:right="543"/>
              <w:rPr>
                <w:rFonts w:ascii="Palatino Linotype" w:hAnsi="Palatino Linotype" w:cstheme="majorBidi"/>
                <w:b/>
                <w:bCs/>
                <w:sz w:val="18"/>
                <w:szCs w:val="18"/>
              </w:rPr>
            </w:pPr>
            <w:r w:rsidRPr="003920BF">
              <w:rPr>
                <w:rFonts w:ascii="Palatino Linotype" w:hAnsi="Palatino Linotype" w:cstheme="majorBidi"/>
                <w:b/>
                <w:bCs/>
                <w:sz w:val="18"/>
                <w:szCs w:val="18"/>
              </w:rPr>
              <w:t xml:space="preserve">Leaves 100 </w:t>
            </w:r>
            <w:r w:rsidRPr="003920BF">
              <w:rPr>
                <w:rFonts w:ascii="Palatino Linotype" w:hAnsi="Palatino Linotype" w:cstheme="majorBidi"/>
                <w:b/>
                <w:bCs/>
                <w:spacing w:val="-3"/>
                <w:sz w:val="18"/>
                <w:szCs w:val="18"/>
              </w:rPr>
              <w:t>mg</w:t>
            </w:r>
          </w:p>
        </w:tc>
        <w:tc>
          <w:tcPr>
            <w:tcW w:w="2601" w:type="dxa"/>
            <w:tcBorders>
              <w:top w:val="single" w:sz="12" w:space="0" w:color="FFFFFF" w:themeColor="background1"/>
              <w:left w:val="nil"/>
              <w:bottom w:val="single" w:sz="12" w:space="0" w:color="FFFFFF" w:themeColor="background1"/>
              <w:right w:val="nil"/>
            </w:tcBorders>
            <w:vAlign w:val="center"/>
          </w:tcPr>
          <w:p w14:paraId="641429AC" w14:textId="29104276" w:rsidR="0031484A" w:rsidRPr="0031484A" w:rsidRDefault="0031484A" w:rsidP="00B272FE">
            <w:pPr>
              <w:pStyle w:val="TableParagraph"/>
              <w:spacing w:line="276" w:lineRule="auto"/>
              <w:ind w:left="365" w:right="543"/>
              <w:rPr>
                <w:rFonts w:ascii="Palatino Linotype" w:hAnsi="Palatino Linotype" w:cstheme="majorBidi"/>
                <w:spacing w:val="-2"/>
                <w:sz w:val="18"/>
                <w:szCs w:val="18"/>
              </w:rPr>
            </w:pPr>
            <w:r w:rsidRPr="0031484A">
              <w:rPr>
                <w:rFonts w:ascii="Palatino Linotype" w:hAnsi="Palatino Linotype" w:cstheme="majorBidi"/>
                <w:spacing w:val="-2"/>
                <w:sz w:val="18"/>
                <w:szCs w:val="18"/>
              </w:rPr>
              <w:t>13</w:t>
            </w:r>
          </w:p>
        </w:tc>
        <w:tc>
          <w:tcPr>
            <w:tcW w:w="1927" w:type="dxa"/>
            <w:tcBorders>
              <w:top w:val="single" w:sz="12" w:space="0" w:color="FFFFFF" w:themeColor="background1"/>
              <w:left w:val="nil"/>
              <w:bottom w:val="single" w:sz="12" w:space="0" w:color="FFFFFF" w:themeColor="background1"/>
              <w:right w:val="nil"/>
            </w:tcBorders>
            <w:vAlign w:val="center"/>
          </w:tcPr>
          <w:p w14:paraId="748FA22B" w14:textId="77777777" w:rsidR="0031484A" w:rsidRPr="0031484A" w:rsidRDefault="0031484A" w:rsidP="00B272FE">
            <w:pPr>
              <w:pStyle w:val="TableParagraph"/>
              <w:spacing w:line="276" w:lineRule="auto"/>
              <w:ind w:left="585" w:right="543"/>
              <w:rPr>
                <w:rFonts w:ascii="Palatino Linotype" w:hAnsi="Palatino Linotype" w:cstheme="majorBidi"/>
                <w:spacing w:val="-2"/>
                <w:sz w:val="18"/>
                <w:szCs w:val="18"/>
              </w:rPr>
            </w:pPr>
            <w:r w:rsidRPr="0031484A">
              <w:rPr>
                <w:rFonts w:ascii="Palatino Linotype" w:hAnsi="Palatino Linotype" w:cstheme="majorBidi"/>
                <w:sz w:val="18"/>
                <w:szCs w:val="18"/>
              </w:rPr>
              <w:t>0.521</w:t>
            </w:r>
            <w:r w:rsidRPr="0031484A">
              <w:rPr>
                <w:rFonts w:ascii="Palatino Linotype" w:hAnsi="Palatino Linotype" w:cstheme="majorBidi"/>
                <w:b/>
                <w:sz w:val="18"/>
                <w:szCs w:val="18"/>
              </w:rPr>
              <w:t>*</w:t>
            </w:r>
            <w:r w:rsidRPr="0031484A">
              <w:rPr>
                <w:rFonts w:ascii="Palatino Linotype" w:hAnsi="Palatino Linotype" w:cstheme="majorBidi"/>
                <w:b/>
                <w:spacing w:val="-3"/>
                <w:sz w:val="18"/>
                <w:szCs w:val="18"/>
              </w:rPr>
              <w:t xml:space="preserve"> </w:t>
            </w:r>
            <w:r w:rsidRPr="0031484A">
              <w:rPr>
                <w:rFonts w:ascii="Palatino Linotype" w:hAnsi="Palatino Linotype" w:cstheme="majorBidi"/>
                <w:b/>
                <w:spacing w:val="-10"/>
                <w:sz w:val="18"/>
                <w:szCs w:val="18"/>
              </w:rPr>
              <w:t>^</w:t>
            </w:r>
          </w:p>
        </w:tc>
        <w:tc>
          <w:tcPr>
            <w:tcW w:w="1387" w:type="dxa"/>
            <w:vMerge/>
            <w:tcBorders>
              <w:left w:val="nil"/>
            </w:tcBorders>
            <w:vAlign w:val="center"/>
          </w:tcPr>
          <w:p w14:paraId="454D4109" w14:textId="77777777" w:rsidR="0031484A" w:rsidRPr="0031484A" w:rsidRDefault="0031484A" w:rsidP="00B272FE">
            <w:pPr>
              <w:ind w:right="543"/>
              <w:jc w:val="center"/>
              <w:rPr>
                <w:rFonts w:ascii="Palatino Linotype" w:hAnsi="Palatino Linotype"/>
                <w:sz w:val="22"/>
                <w:szCs w:val="22"/>
              </w:rPr>
            </w:pPr>
          </w:p>
        </w:tc>
      </w:tr>
      <w:tr w:rsidR="0031484A" w:rsidRPr="0031484A" w14:paraId="419A7668" w14:textId="77777777" w:rsidTr="003920BF">
        <w:trPr>
          <w:trHeight w:val="480"/>
          <w:jc w:val="center"/>
        </w:trPr>
        <w:tc>
          <w:tcPr>
            <w:tcW w:w="2694" w:type="dxa"/>
            <w:tcBorders>
              <w:top w:val="single" w:sz="12" w:space="0" w:color="FFFFFF" w:themeColor="background1"/>
              <w:bottom w:val="single" w:sz="12" w:space="0" w:color="FFFFFF" w:themeColor="background1"/>
              <w:right w:val="nil"/>
            </w:tcBorders>
            <w:vAlign w:val="center"/>
          </w:tcPr>
          <w:p w14:paraId="7A542C27" w14:textId="77777777" w:rsidR="0031484A" w:rsidRPr="003920BF" w:rsidRDefault="0031484A" w:rsidP="00AD3CAE">
            <w:pPr>
              <w:pStyle w:val="TableParagraph"/>
              <w:tabs>
                <w:tab w:val="left" w:pos="0"/>
                <w:tab w:val="center" w:pos="963"/>
              </w:tabs>
              <w:spacing w:line="276" w:lineRule="auto"/>
              <w:ind w:left="142" w:right="543"/>
              <w:rPr>
                <w:rFonts w:ascii="Palatino Linotype" w:hAnsi="Palatino Linotype" w:cstheme="majorBidi"/>
                <w:b/>
                <w:bCs/>
                <w:sz w:val="18"/>
                <w:szCs w:val="18"/>
              </w:rPr>
            </w:pPr>
            <w:r w:rsidRPr="003920BF">
              <w:rPr>
                <w:rFonts w:ascii="Palatino Linotype" w:hAnsi="Palatino Linotype" w:cstheme="majorBidi"/>
                <w:b/>
                <w:bCs/>
                <w:sz w:val="18"/>
                <w:szCs w:val="18"/>
              </w:rPr>
              <w:t xml:space="preserve">Leaves </w:t>
            </w:r>
            <w:r w:rsidRPr="003920BF">
              <w:rPr>
                <w:rFonts w:ascii="Palatino Linotype" w:hAnsi="Palatino Linotype" w:cstheme="majorBidi"/>
                <w:b/>
                <w:bCs/>
                <w:spacing w:val="-2"/>
                <w:sz w:val="18"/>
                <w:szCs w:val="18"/>
              </w:rPr>
              <w:t>75</w:t>
            </w:r>
            <w:r w:rsidRPr="003920BF">
              <w:rPr>
                <w:rFonts w:ascii="Palatino Linotype" w:hAnsi="Palatino Linotype" w:cstheme="majorBidi"/>
                <w:b/>
                <w:bCs/>
                <w:spacing w:val="-3"/>
                <w:sz w:val="18"/>
                <w:szCs w:val="18"/>
              </w:rPr>
              <w:t xml:space="preserve"> </w:t>
            </w:r>
            <w:r w:rsidRPr="003920BF">
              <w:rPr>
                <w:rFonts w:ascii="Palatino Linotype" w:hAnsi="Palatino Linotype" w:cstheme="majorBidi"/>
                <w:b/>
                <w:bCs/>
                <w:spacing w:val="-5"/>
                <w:sz w:val="18"/>
                <w:szCs w:val="18"/>
              </w:rPr>
              <w:t>mg</w:t>
            </w:r>
          </w:p>
        </w:tc>
        <w:tc>
          <w:tcPr>
            <w:tcW w:w="2601" w:type="dxa"/>
            <w:tcBorders>
              <w:top w:val="single" w:sz="12" w:space="0" w:color="FFFFFF" w:themeColor="background1"/>
              <w:left w:val="nil"/>
              <w:bottom w:val="single" w:sz="12" w:space="0" w:color="FFFFFF" w:themeColor="background1"/>
              <w:right w:val="nil"/>
            </w:tcBorders>
            <w:vAlign w:val="center"/>
          </w:tcPr>
          <w:p w14:paraId="0A2EDB6B" w14:textId="6FD27EE2" w:rsidR="0031484A" w:rsidRPr="0031484A" w:rsidRDefault="0031484A" w:rsidP="00B272FE">
            <w:pPr>
              <w:pStyle w:val="TableParagraph"/>
              <w:spacing w:line="276" w:lineRule="auto"/>
              <w:ind w:left="365" w:right="543"/>
              <w:rPr>
                <w:rFonts w:ascii="Palatino Linotype" w:hAnsi="Palatino Linotype" w:cstheme="majorBidi"/>
                <w:sz w:val="18"/>
                <w:szCs w:val="18"/>
              </w:rPr>
            </w:pPr>
            <w:r w:rsidRPr="0031484A">
              <w:rPr>
                <w:rFonts w:ascii="Palatino Linotype" w:hAnsi="Palatino Linotype" w:cstheme="majorBidi"/>
                <w:spacing w:val="-2"/>
                <w:sz w:val="18"/>
                <w:szCs w:val="18"/>
              </w:rPr>
              <w:t>10</w:t>
            </w:r>
          </w:p>
        </w:tc>
        <w:tc>
          <w:tcPr>
            <w:tcW w:w="1927" w:type="dxa"/>
            <w:tcBorders>
              <w:top w:val="single" w:sz="12" w:space="0" w:color="FFFFFF" w:themeColor="background1"/>
              <w:left w:val="nil"/>
              <w:bottom w:val="single" w:sz="12" w:space="0" w:color="FFFFFF" w:themeColor="background1"/>
              <w:right w:val="nil"/>
            </w:tcBorders>
            <w:vAlign w:val="center"/>
          </w:tcPr>
          <w:p w14:paraId="42A4461A" w14:textId="77777777" w:rsidR="0031484A" w:rsidRPr="0031484A" w:rsidRDefault="0031484A" w:rsidP="00B272FE">
            <w:pPr>
              <w:pStyle w:val="TableParagraph"/>
              <w:spacing w:line="276" w:lineRule="auto"/>
              <w:ind w:left="542" w:right="543"/>
              <w:rPr>
                <w:rFonts w:ascii="Palatino Linotype" w:hAnsi="Palatino Linotype" w:cstheme="majorBidi"/>
                <w:b/>
                <w:sz w:val="18"/>
                <w:szCs w:val="18"/>
              </w:rPr>
            </w:pPr>
            <w:r w:rsidRPr="0031484A">
              <w:rPr>
                <w:rFonts w:ascii="Palatino Linotype" w:hAnsi="Palatino Linotype" w:cstheme="majorBidi"/>
                <w:sz w:val="18"/>
                <w:szCs w:val="18"/>
              </w:rPr>
              <w:t>0.639</w:t>
            </w:r>
            <w:r w:rsidRPr="0031484A">
              <w:rPr>
                <w:rFonts w:ascii="Palatino Linotype" w:hAnsi="Palatino Linotype" w:cstheme="majorBidi"/>
                <w:b/>
                <w:sz w:val="18"/>
                <w:szCs w:val="18"/>
              </w:rPr>
              <w:t>*</w:t>
            </w:r>
            <w:r w:rsidRPr="0031484A">
              <w:rPr>
                <w:rFonts w:ascii="Palatino Linotype" w:hAnsi="Palatino Linotype" w:cstheme="majorBidi"/>
                <w:b/>
                <w:spacing w:val="-3"/>
                <w:sz w:val="18"/>
                <w:szCs w:val="18"/>
              </w:rPr>
              <w:t xml:space="preserve"> </w:t>
            </w:r>
            <w:r w:rsidRPr="0031484A">
              <w:rPr>
                <w:rFonts w:ascii="Palatino Linotype" w:hAnsi="Palatino Linotype" w:cstheme="majorBidi"/>
                <w:b/>
                <w:spacing w:val="-10"/>
                <w:sz w:val="18"/>
                <w:szCs w:val="18"/>
              </w:rPr>
              <w:t>^</w:t>
            </w:r>
          </w:p>
        </w:tc>
        <w:tc>
          <w:tcPr>
            <w:tcW w:w="1387" w:type="dxa"/>
            <w:vMerge/>
            <w:tcBorders>
              <w:left w:val="nil"/>
            </w:tcBorders>
            <w:vAlign w:val="center"/>
          </w:tcPr>
          <w:p w14:paraId="3322300F" w14:textId="77777777" w:rsidR="0031484A" w:rsidRPr="0031484A" w:rsidRDefault="0031484A" w:rsidP="00B272FE">
            <w:pPr>
              <w:pStyle w:val="TableParagraph"/>
              <w:spacing w:line="276" w:lineRule="auto"/>
              <w:ind w:right="543"/>
              <w:rPr>
                <w:rFonts w:ascii="Palatino Linotype" w:hAnsi="Palatino Linotype" w:cstheme="majorBidi"/>
                <w:sz w:val="18"/>
                <w:szCs w:val="18"/>
              </w:rPr>
            </w:pPr>
          </w:p>
        </w:tc>
      </w:tr>
      <w:tr w:rsidR="0031484A" w:rsidRPr="0031484A" w14:paraId="6BE18A16" w14:textId="77777777" w:rsidTr="003920BF">
        <w:trPr>
          <w:trHeight w:val="480"/>
          <w:jc w:val="center"/>
        </w:trPr>
        <w:tc>
          <w:tcPr>
            <w:tcW w:w="2694" w:type="dxa"/>
            <w:tcBorders>
              <w:top w:val="single" w:sz="12" w:space="0" w:color="FFFFFF" w:themeColor="background1"/>
              <w:bottom w:val="single" w:sz="12" w:space="0" w:color="FFFFFF" w:themeColor="background1"/>
              <w:right w:val="nil"/>
            </w:tcBorders>
            <w:vAlign w:val="center"/>
          </w:tcPr>
          <w:p w14:paraId="5DBD4E25" w14:textId="77777777" w:rsidR="0031484A" w:rsidRPr="003920BF" w:rsidRDefault="0031484A" w:rsidP="00AD3CAE">
            <w:pPr>
              <w:pStyle w:val="TableParagraph"/>
              <w:spacing w:line="276" w:lineRule="auto"/>
              <w:ind w:left="142" w:right="543"/>
              <w:rPr>
                <w:rFonts w:ascii="Palatino Linotype" w:hAnsi="Palatino Linotype" w:cstheme="majorBidi"/>
                <w:b/>
                <w:bCs/>
                <w:sz w:val="18"/>
                <w:szCs w:val="18"/>
              </w:rPr>
            </w:pPr>
            <w:r w:rsidRPr="003920BF">
              <w:rPr>
                <w:rFonts w:ascii="Palatino Linotype" w:hAnsi="Palatino Linotype" w:cstheme="majorBidi"/>
                <w:b/>
                <w:bCs/>
                <w:sz w:val="18"/>
                <w:szCs w:val="18"/>
              </w:rPr>
              <w:t>Leaves 50</w:t>
            </w:r>
            <w:r w:rsidRPr="003920BF">
              <w:rPr>
                <w:rFonts w:ascii="Palatino Linotype" w:hAnsi="Palatino Linotype" w:cstheme="majorBidi"/>
                <w:b/>
                <w:bCs/>
                <w:spacing w:val="-1"/>
                <w:sz w:val="18"/>
                <w:szCs w:val="18"/>
              </w:rPr>
              <w:t xml:space="preserve"> </w:t>
            </w:r>
            <w:r w:rsidRPr="003920BF">
              <w:rPr>
                <w:rFonts w:ascii="Palatino Linotype" w:hAnsi="Palatino Linotype" w:cstheme="majorBidi"/>
                <w:b/>
                <w:bCs/>
                <w:spacing w:val="-5"/>
                <w:sz w:val="18"/>
                <w:szCs w:val="18"/>
              </w:rPr>
              <w:t>mg</w:t>
            </w:r>
          </w:p>
        </w:tc>
        <w:tc>
          <w:tcPr>
            <w:tcW w:w="2601" w:type="dxa"/>
            <w:tcBorders>
              <w:top w:val="single" w:sz="12" w:space="0" w:color="FFFFFF" w:themeColor="background1"/>
              <w:left w:val="nil"/>
              <w:bottom w:val="single" w:sz="12" w:space="0" w:color="FFFFFF" w:themeColor="background1"/>
              <w:right w:val="nil"/>
            </w:tcBorders>
            <w:vAlign w:val="center"/>
          </w:tcPr>
          <w:p w14:paraId="426BBD87" w14:textId="795A9205" w:rsidR="0031484A" w:rsidRPr="0031484A" w:rsidRDefault="0031484A" w:rsidP="00B272FE">
            <w:pPr>
              <w:pStyle w:val="TableParagraph"/>
              <w:spacing w:line="276" w:lineRule="auto"/>
              <w:ind w:left="365" w:right="543"/>
              <w:rPr>
                <w:rFonts w:ascii="Palatino Linotype" w:hAnsi="Palatino Linotype" w:cstheme="majorBidi"/>
                <w:sz w:val="18"/>
                <w:szCs w:val="18"/>
              </w:rPr>
            </w:pPr>
            <w:r w:rsidRPr="0031484A">
              <w:rPr>
                <w:rFonts w:ascii="Palatino Linotype" w:hAnsi="Palatino Linotype" w:cstheme="majorBidi"/>
                <w:spacing w:val="-2"/>
                <w:sz w:val="18"/>
                <w:szCs w:val="18"/>
              </w:rPr>
              <w:t>10</w:t>
            </w:r>
          </w:p>
        </w:tc>
        <w:tc>
          <w:tcPr>
            <w:tcW w:w="1927" w:type="dxa"/>
            <w:tcBorders>
              <w:top w:val="single" w:sz="12" w:space="0" w:color="FFFFFF" w:themeColor="background1"/>
              <w:left w:val="nil"/>
              <w:bottom w:val="single" w:sz="12" w:space="0" w:color="FFFFFF" w:themeColor="background1"/>
              <w:right w:val="nil"/>
            </w:tcBorders>
            <w:vAlign w:val="center"/>
          </w:tcPr>
          <w:p w14:paraId="3A52C6F3" w14:textId="77777777" w:rsidR="0031484A" w:rsidRPr="0031484A" w:rsidRDefault="0031484A" w:rsidP="00B272FE">
            <w:pPr>
              <w:pStyle w:val="TableParagraph"/>
              <w:spacing w:line="276" w:lineRule="auto"/>
              <w:ind w:left="542" w:right="543"/>
              <w:rPr>
                <w:rFonts w:ascii="Palatino Linotype" w:hAnsi="Palatino Linotype" w:cstheme="majorBidi"/>
                <w:b/>
                <w:sz w:val="18"/>
                <w:szCs w:val="18"/>
              </w:rPr>
            </w:pPr>
            <w:r w:rsidRPr="0031484A">
              <w:rPr>
                <w:rFonts w:ascii="Palatino Linotype" w:hAnsi="Palatino Linotype" w:cstheme="majorBidi"/>
                <w:sz w:val="18"/>
                <w:szCs w:val="18"/>
              </w:rPr>
              <w:t>0.258</w:t>
            </w:r>
            <w:r w:rsidRPr="0031484A">
              <w:rPr>
                <w:rFonts w:ascii="Palatino Linotype" w:hAnsi="Palatino Linotype" w:cstheme="majorBidi"/>
                <w:b/>
                <w:sz w:val="18"/>
                <w:szCs w:val="18"/>
              </w:rPr>
              <w:t>*</w:t>
            </w:r>
            <w:r w:rsidRPr="0031484A">
              <w:rPr>
                <w:rFonts w:ascii="Palatino Linotype" w:hAnsi="Palatino Linotype" w:cstheme="majorBidi"/>
                <w:b/>
                <w:spacing w:val="-3"/>
                <w:sz w:val="18"/>
                <w:szCs w:val="18"/>
              </w:rPr>
              <w:t xml:space="preserve"> </w:t>
            </w:r>
            <w:r w:rsidRPr="0031484A">
              <w:rPr>
                <w:rFonts w:ascii="Palatino Linotype" w:hAnsi="Palatino Linotype" w:cstheme="majorBidi"/>
                <w:b/>
                <w:spacing w:val="-10"/>
                <w:sz w:val="18"/>
                <w:szCs w:val="18"/>
              </w:rPr>
              <w:t>^</w:t>
            </w:r>
          </w:p>
        </w:tc>
        <w:tc>
          <w:tcPr>
            <w:tcW w:w="1387" w:type="dxa"/>
            <w:vMerge/>
            <w:tcBorders>
              <w:left w:val="nil"/>
            </w:tcBorders>
            <w:vAlign w:val="center"/>
          </w:tcPr>
          <w:p w14:paraId="14A72921" w14:textId="77777777" w:rsidR="0031484A" w:rsidRPr="0031484A" w:rsidRDefault="0031484A" w:rsidP="00B272FE">
            <w:pPr>
              <w:pStyle w:val="TableParagraph"/>
              <w:spacing w:line="276" w:lineRule="auto"/>
              <w:ind w:right="543"/>
              <w:rPr>
                <w:rFonts w:ascii="Palatino Linotype" w:hAnsi="Palatino Linotype" w:cstheme="majorBidi"/>
                <w:sz w:val="18"/>
                <w:szCs w:val="18"/>
              </w:rPr>
            </w:pPr>
          </w:p>
        </w:tc>
      </w:tr>
      <w:tr w:rsidR="0031484A" w:rsidRPr="0031484A" w14:paraId="4C078AD8" w14:textId="77777777" w:rsidTr="003920BF">
        <w:trPr>
          <w:trHeight w:val="480"/>
          <w:jc w:val="center"/>
        </w:trPr>
        <w:tc>
          <w:tcPr>
            <w:tcW w:w="2694" w:type="dxa"/>
            <w:tcBorders>
              <w:top w:val="single" w:sz="12" w:space="0" w:color="FFFFFF" w:themeColor="background1"/>
              <w:bottom w:val="single" w:sz="12" w:space="0" w:color="FFFFFF" w:themeColor="background1"/>
              <w:right w:val="nil"/>
            </w:tcBorders>
            <w:vAlign w:val="center"/>
          </w:tcPr>
          <w:p w14:paraId="467B698D" w14:textId="77777777" w:rsidR="0031484A" w:rsidRPr="003920BF" w:rsidRDefault="0031484A" w:rsidP="00AD3CAE">
            <w:pPr>
              <w:pStyle w:val="TableParagraph"/>
              <w:spacing w:line="276" w:lineRule="auto"/>
              <w:ind w:left="142" w:right="543"/>
              <w:rPr>
                <w:rFonts w:ascii="Palatino Linotype" w:hAnsi="Palatino Linotype" w:cstheme="majorBidi"/>
                <w:b/>
                <w:bCs/>
                <w:sz w:val="18"/>
                <w:szCs w:val="18"/>
              </w:rPr>
            </w:pPr>
            <w:r w:rsidRPr="003920BF">
              <w:rPr>
                <w:rFonts w:ascii="Palatino Linotype" w:hAnsi="Palatino Linotype" w:cstheme="majorBidi"/>
                <w:b/>
                <w:bCs/>
                <w:sz w:val="18"/>
                <w:szCs w:val="18"/>
              </w:rPr>
              <w:t>Leaves 25</w:t>
            </w:r>
            <w:r w:rsidRPr="003920BF">
              <w:rPr>
                <w:rFonts w:ascii="Palatino Linotype" w:hAnsi="Palatino Linotype" w:cstheme="majorBidi"/>
                <w:b/>
                <w:bCs/>
                <w:spacing w:val="-1"/>
                <w:sz w:val="18"/>
                <w:szCs w:val="18"/>
              </w:rPr>
              <w:t xml:space="preserve"> </w:t>
            </w:r>
            <w:r w:rsidRPr="003920BF">
              <w:rPr>
                <w:rFonts w:ascii="Palatino Linotype" w:hAnsi="Palatino Linotype" w:cstheme="majorBidi"/>
                <w:b/>
                <w:bCs/>
                <w:spacing w:val="-5"/>
                <w:sz w:val="18"/>
                <w:szCs w:val="18"/>
              </w:rPr>
              <w:t>mg</w:t>
            </w:r>
          </w:p>
        </w:tc>
        <w:tc>
          <w:tcPr>
            <w:tcW w:w="2601" w:type="dxa"/>
            <w:tcBorders>
              <w:top w:val="single" w:sz="12" w:space="0" w:color="FFFFFF" w:themeColor="background1"/>
              <w:left w:val="nil"/>
              <w:bottom w:val="single" w:sz="12" w:space="0" w:color="FFFFFF" w:themeColor="background1"/>
              <w:right w:val="nil"/>
            </w:tcBorders>
            <w:vAlign w:val="center"/>
          </w:tcPr>
          <w:p w14:paraId="078D0DEF" w14:textId="22A0B5A4" w:rsidR="0031484A" w:rsidRPr="0031484A" w:rsidRDefault="0031484A" w:rsidP="00B272FE">
            <w:pPr>
              <w:pStyle w:val="TableParagraph"/>
              <w:spacing w:line="276" w:lineRule="auto"/>
              <w:ind w:left="365" w:right="543"/>
              <w:rPr>
                <w:rFonts w:ascii="Palatino Linotype" w:hAnsi="Palatino Linotype" w:cstheme="majorBidi"/>
                <w:sz w:val="18"/>
                <w:szCs w:val="18"/>
              </w:rPr>
            </w:pPr>
            <w:r w:rsidRPr="0031484A">
              <w:rPr>
                <w:rFonts w:ascii="Palatino Linotype" w:hAnsi="Palatino Linotype" w:cstheme="majorBidi"/>
                <w:spacing w:val="-2"/>
                <w:sz w:val="18"/>
                <w:szCs w:val="18"/>
              </w:rPr>
              <w:t>5</w:t>
            </w:r>
          </w:p>
        </w:tc>
        <w:tc>
          <w:tcPr>
            <w:tcW w:w="1927" w:type="dxa"/>
            <w:tcBorders>
              <w:top w:val="single" w:sz="12" w:space="0" w:color="FFFFFF" w:themeColor="background1"/>
              <w:left w:val="nil"/>
              <w:bottom w:val="single" w:sz="12" w:space="0" w:color="FFFFFF" w:themeColor="background1"/>
              <w:right w:val="nil"/>
            </w:tcBorders>
            <w:vAlign w:val="center"/>
          </w:tcPr>
          <w:p w14:paraId="495C36C8" w14:textId="77777777" w:rsidR="0031484A" w:rsidRPr="0031484A" w:rsidRDefault="0031484A" w:rsidP="00B272FE">
            <w:pPr>
              <w:pStyle w:val="TableParagraph"/>
              <w:spacing w:line="276" w:lineRule="auto"/>
              <w:ind w:left="542" w:right="543"/>
              <w:rPr>
                <w:rFonts w:ascii="Palatino Linotype" w:hAnsi="Palatino Linotype" w:cstheme="majorBidi"/>
                <w:b/>
                <w:sz w:val="18"/>
                <w:szCs w:val="18"/>
              </w:rPr>
            </w:pPr>
            <w:r w:rsidRPr="0031484A">
              <w:rPr>
                <w:rFonts w:ascii="Palatino Linotype" w:hAnsi="Palatino Linotype" w:cstheme="majorBidi"/>
                <w:sz w:val="18"/>
                <w:szCs w:val="18"/>
              </w:rPr>
              <w:t>0.329</w:t>
            </w:r>
            <w:r w:rsidRPr="0031484A">
              <w:rPr>
                <w:rFonts w:ascii="Palatino Linotype" w:hAnsi="Palatino Linotype" w:cstheme="majorBidi"/>
                <w:b/>
                <w:sz w:val="18"/>
                <w:szCs w:val="18"/>
              </w:rPr>
              <w:t>*</w:t>
            </w:r>
            <w:r w:rsidRPr="0031484A">
              <w:rPr>
                <w:rFonts w:ascii="Palatino Linotype" w:hAnsi="Palatino Linotype" w:cstheme="majorBidi"/>
                <w:b/>
                <w:spacing w:val="-3"/>
                <w:sz w:val="18"/>
                <w:szCs w:val="18"/>
              </w:rPr>
              <w:t xml:space="preserve"> </w:t>
            </w:r>
            <w:r w:rsidRPr="0031484A">
              <w:rPr>
                <w:rFonts w:ascii="Palatino Linotype" w:hAnsi="Palatino Linotype" w:cstheme="majorBidi"/>
                <w:b/>
                <w:spacing w:val="-10"/>
                <w:sz w:val="18"/>
                <w:szCs w:val="18"/>
              </w:rPr>
              <w:t>^</w:t>
            </w:r>
          </w:p>
        </w:tc>
        <w:tc>
          <w:tcPr>
            <w:tcW w:w="1387" w:type="dxa"/>
            <w:vMerge/>
            <w:tcBorders>
              <w:left w:val="nil"/>
            </w:tcBorders>
            <w:vAlign w:val="center"/>
          </w:tcPr>
          <w:p w14:paraId="71AE6FE5" w14:textId="77777777" w:rsidR="0031484A" w:rsidRPr="0031484A" w:rsidRDefault="0031484A" w:rsidP="00B272FE">
            <w:pPr>
              <w:pStyle w:val="TableParagraph"/>
              <w:spacing w:line="276" w:lineRule="auto"/>
              <w:ind w:right="543"/>
              <w:rPr>
                <w:rFonts w:ascii="Palatino Linotype" w:hAnsi="Palatino Linotype" w:cstheme="majorBidi"/>
                <w:sz w:val="18"/>
                <w:szCs w:val="18"/>
              </w:rPr>
            </w:pPr>
          </w:p>
        </w:tc>
      </w:tr>
      <w:tr w:rsidR="0031484A" w:rsidRPr="0031484A" w14:paraId="5BD9E226" w14:textId="77777777" w:rsidTr="003920BF">
        <w:trPr>
          <w:trHeight w:val="480"/>
          <w:jc w:val="center"/>
        </w:trPr>
        <w:tc>
          <w:tcPr>
            <w:tcW w:w="2694" w:type="dxa"/>
            <w:tcBorders>
              <w:top w:val="single" w:sz="12" w:space="0" w:color="FFFFFF" w:themeColor="background1"/>
              <w:bottom w:val="single" w:sz="12" w:space="0" w:color="FFFFFF" w:themeColor="background1"/>
              <w:right w:val="nil"/>
            </w:tcBorders>
            <w:vAlign w:val="center"/>
          </w:tcPr>
          <w:p w14:paraId="5866549D" w14:textId="24A04D44" w:rsidR="0031484A" w:rsidRPr="003920BF" w:rsidRDefault="0031484A" w:rsidP="00AD3CAE">
            <w:pPr>
              <w:pStyle w:val="TableParagraph"/>
              <w:spacing w:line="276" w:lineRule="auto"/>
              <w:ind w:left="142" w:right="543"/>
              <w:rPr>
                <w:rFonts w:ascii="Palatino Linotype" w:hAnsi="Palatino Linotype" w:cstheme="majorBidi"/>
                <w:b/>
                <w:bCs/>
                <w:sz w:val="18"/>
                <w:szCs w:val="18"/>
              </w:rPr>
            </w:pPr>
            <w:r w:rsidRPr="003920BF">
              <w:rPr>
                <w:rFonts w:ascii="Palatino Linotype" w:hAnsi="Palatino Linotype" w:cstheme="majorBidi"/>
                <w:b/>
                <w:bCs/>
                <w:sz w:val="18"/>
                <w:szCs w:val="18"/>
              </w:rPr>
              <w:t>Metronidazole (5 µg)</w:t>
            </w:r>
          </w:p>
        </w:tc>
        <w:tc>
          <w:tcPr>
            <w:tcW w:w="2601" w:type="dxa"/>
            <w:tcBorders>
              <w:top w:val="single" w:sz="12" w:space="0" w:color="FFFFFF" w:themeColor="background1"/>
              <w:left w:val="nil"/>
              <w:bottom w:val="single" w:sz="12" w:space="0" w:color="FFFFFF" w:themeColor="background1"/>
              <w:right w:val="nil"/>
            </w:tcBorders>
            <w:vAlign w:val="center"/>
          </w:tcPr>
          <w:p w14:paraId="68C8E433" w14:textId="63263968" w:rsidR="0031484A" w:rsidRPr="0031484A" w:rsidRDefault="00A50209" w:rsidP="00B272FE">
            <w:pPr>
              <w:pStyle w:val="TableParagraph"/>
              <w:spacing w:line="276" w:lineRule="auto"/>
              <w:ind w:left="365" w:right="543"/>
              <w:rPr>
                <w:rFonts w:ascii="Palatino Linotype" w:hAnsi="Palatino Linotype" w:cstheme="majorBidi"/>
                <w:spacing w:val="-2"/>
                <w:sz w:val="18"/>
                <w:szCs w:val="18"/>
              </w:rPr>
            </w:pPr>
            <w:r>
              <w:rPr>
                <w:rFonts w:ascii="Palatino Linotype" w:hAnsi="Palatino Linotype" w:cstheme="majorBidi"/>
                <w:spacing w:val="-2"/>
                <w:sz w:val="18"/>
                <w:szCs w:val="18"/>
              </w:rPr>
              <w:t>2</w:t>
            </w:r>
          </w:p>
        </w:tc>
        <w:tc>
          <w:tcPr>
            <w:tcW w:w="1927" w:type="dxa"/>
            <w:tcBorders>
              <w:top w:val="single" w:sz="12" w:space="0" w:color="FFFFFF" w:themeColor="background1"/>
              <w:left w:val="nil"/>
              <w:bottom w:val="single" w:sz="12" w:space="0" w:color="FFFFFF" w:themeColor="background1"/>
              <w:right w:val="nil"/>
            </w:tcBorders>
            <w:vAlign w:val="center"/>
          </w:tcPr>
          <w:p w14:paraId="7DE75835" w14:textId="77777777" w:rsidR="0031484A" w:rsidRPr="0031484A" w:rsidRDefault="0031484A" w:rsidP="00B272FE">
            <w:pPr>
              <w:pStyle w:val="TableParagraph"/>
              <w:spacing w:line="276" w:lineRule="auto"/>
              <w:ind w:left="542" w:right="543"/>
              <w:rPr>
                <w:rFonts w:ascii="Palatino Linotype" w:hAnsi="Palatino Linotype" w:cstheme="majorBidi"/>
                <w:sz w:val="18"/>
                <w:szCs w:val="18"/>
              </w:rPr>
            </w:pPr>
            <w:r w:rsidRPr="0031484A">
              <w:rPr>
                <w:rFonts w:ascii="Palatino Linotype" w:hAnsi="Palatino Linotype" w:cstheme="majorBidi"/>
                <w:sz w:val="18"/>
                <w:szCs w:val="18"/>
              </w:rPr>
              <w:t>0.347</w:t>
            </w:r>
            <w:r w:rsidRPr="0031484A">
              <w:rPr>
                <w:rFonts w:ascii="Palatino Linotype" w:hAnsi="Palatino Linotype" w:cstheme="majorBidi"/>
                <w:b/>
                <w:sz w:val="18"/>
                <w:szCs w:val="18"/>
              </w:rPr>
              <w:t>*</w:t>
            </w:r>
            <w:r w:rsidRPr="0031484A">
              <w:rPr>
                <w:rFonts w:ascii="Palatino Linotype" w:hAnsi="Palatino Linotype" w:cstheme="majorBidi"/>
                <w:b/>
                <w:spacing w:val="-3"/>
                <w:sz w:val="18"/>
                <w:szCs w:val="18"/>
              </w:rPr>
              <w:t xml:space="preserve"> </w:t>
            </w:r>
            <w:r w:rsidRPr="0031484A">
              <w:rPr>
                <w:rFonts w:ascii="Palatino Linotype" w:hAnsi="Palatino Linotype" w:cstheme="majorBidi"/>
                <w:b/>
                <w:spacing w:val="-10"/>
                <w:sz w:val="18"/>
                <w:szCs w:val="18"/>
              </w:rPr>
              <w:t>^</w:t>
            </w:r>
          </w:p>
        </w:tc>
        <w:tc>
          <w:tcPr>
            <w:tcW w:w="1387" w:type="dxa"/>
            <w:vMerge/>
            <w:tcBorders>
              <w:left w:val="nil"/>
            </w:tcBorders>
            <w:vAlign w:val="center"/>
          </w:tcPr>
          <w:p w14:paraId="2F2FE7BC" w14:textId="77777777" w:rsidR="0031484A" w:rsidRPr="0031484A" w:rsidRDefault="0031484A" w:rsidP="00B272FE">
            <w:pPr>
              <w:pStyle w:val="TableParagraph"/>
              <w:spacing w:line="276" w:lineRule="auto"/>
              <w:ind w:right="543"/>
              <w:rPr>
                <w:rFonts w:ascii="Palatino Linotype" w:hAnsi="Palatino Linotype" w:cstheme="majorBidi"/>
                <w:sz w:val="18"/>
                <w:szCs w:val="18"/>
              </w:rPr>
            </w:pPr>
          </w:p>
        </w:tc>
      </w:tr>
      <w:tr w:rsidR="0031484A" w:rsidRPr="0031484A" w14:paraId="2C1BA11F" w14:textId="77777777" w:rsidTr="003920BF">
        <w:trPr>
          <w:trHeight w:val="480"/>
          <w:jc w:val="center"/>
        </w:trPr>
        <w:tc>
          <w:tcPr>
            <w:tcW w:w="2694" w:type="dxa"/>
            <w:tcBorders>
              <w:top w:val="single" w:sz="12" w:space="0" w:color="FFFFFF" w:themeColor="background1"/>
              <w:bottom w:val="single" w:sz="4" w:space="0" w:color="auto"/>
              <w:right w:val="nil"/>
            </w:tcBorders>
            <w:vAlign w:val="center"/>
          </w:tcPr>
          <w:p w14:paraId="50C5B740" w14:textId="34C0E2A6" w:rsidR="0031484A" w:rsidRPr="003920BF" w:rsidRDefault="0031484A" w:rsidP="00AD3CAE">
            <w:pPr>
              <w:pStyle w:val="TableParagraph"/>
              <w:spacing w:line="276" w:lineRule="auto"/>
              <w:ind w:left="142" w:right="543"/>
              <w:rPr>
                <w:rFonts w:ascii="Palatino Linotype" w:hAnsi="Palatino Linotype" w:cstheme="majorBidi"/>
                <w:b/>
                <w:bCs/>
                <w:sz w:val="18"/>
                <w:szCs w:val="18"/>
              </w:rPr>
            </w:pPr>
            <w:r w:rsidRPr="003920BF">
              <w:rPr>
                <w:rFonts w:ascii="Palatino Linotype" w:hAnsi="Palatino Linotype" w:cstheme="majorBidi"/>
                <w:b/>
                <w:bCs/>
                <w:sz w:val="18"/>
                <w:szCs w:val="18"/>
              </w:rPr>
              <w:t>Augmentin (30 µg)</w:t>
            </w:r>
          </w:p>
        </w:tc>
        <w:tc>
          <w:tcPr>
            <w:tcW w:w="2601" w:type="dxa"/>
            <w:tcBorders>
              <w:top w:val="single" w:sz="12" w:space="0" w:color="FFFFFF" w:themeColor="background1"/>
              <w:left w:val="nil"/>
              <w:bottom w:val="single" w:sz="4" w:space="0" w:color="auto"/>
              <w:right w:val="nil"/>
            </w:tcBorders>
            <w:vAlign w:val="center"/>
          </w:tcPr>
          <w:p w14:paraId="4C13FE39" w14:textId="77777777" w:rsidR="0031484A" w:rsidRPr="0031484A" w:rsidRDefault="0031484A" w:rsidP="00B272FE">
            <w:pPr>
              <w:pStyle w:val="TableParagraph"/>
              <w:spacing w:line="276" w:lineRule="auto"/>
              <w:ind w:left="365" w:right="543"/>
              <w:rPr>
                <w:rFonts w:ascii="Palatino Linotype" w:hAnsi="Palatino Linotype" w:cstheme="majorBidi"/>
                <w:spacing w:val="-2"/>
                <w:sz w:val="18"/>
                <w:szCs w:val="18"/>
              </w:rPr>
            </w:pPr>
            <w:r w:rsidRPr="0031484A">
              <w:rPr>
                <w:rFonts w:ascii="Palatino Linotype" w:hAnsi="Palatino Linotype" w:cstheme="majorBidi"/>
                <w:spacing w:val="-2"/>
                <w:sz w:val="18"/>
                <w:szCs w:val="18"/>
              </w:rPr>
              <w:t>Resistant</w:t>
            </w:r>
          </w:p>
        </w:tc>
        <w:tc>
          <w:tcPr>
            <w:tcW w:w="1927" w:type="dxa"/>
            <w:tcBorders>
              <w:top w:val="single" w:sz="12" w:space="0" w:color="FFFFFF" w:themeColor="background1"/>
              <w:left w:val="nil"/>
              <w:bottom w:val="single" w:sz="4" w:space="0" w:color="auto"/>
              <w:right w:val="nil"/>
            </w:tcBorders>
            <w:vAlign w:val="center"/>
          </w:tcPr>
          <w:p w14:paraId="360CA0BB" w14:textId="77777777" w:rsidR="0031484A" w:rsidRPr="0031484A" w:rsidRDefault="0031484A" w:rsidP="00B272FE">
            <w:pPr>
              <w:pStyle w:val="TableParagraph"/>
              <w:spacing w:line="276" w:lineRule="auto"/>
              <w:ind w:left="542" w:right="543"/>
              <w:rPr>
                <w:rFonts w:ascii="Palatino Linotype" w:hAnsi="Palatino Linotype" w:cstheme="majorBidi"/>
                <w:sz w:val="18"/>
                <w:szCs w:val="18"/>
              </w:rPr>
            </w:pPr>
            <w:r w:rsidRPr="0031484A">
              <w:rPr>
                <w:rFonts w:ascii="Palatino Linotype" w:hAnsi="Palatino Linotype" w:cstheme="majorBidi"/>
                <w:sz w:val="18"/>
                <w:szCs w:val="18"/>
              </w:rPr>
              <w:t>Null</w:t>
            </w:r>
          </w:p>
        </w:tc>
        <w:tc>
          <w:tcPr>
            <w:tcW w:w="1387" w:type="dxa"/>
            <w:vMerge/>
            <w:tcBorders>
              <w:left w:val="nil"/>
              <w:bottom w:val="single" w:sz="4" w:space="0" w:color="auto"/>
            </w:tcBorders>
            <w:vAlign w:val="center"/>
          </w:tcPr>
          <w:p w14:paraId="1D7EFF7A" w14:textId="77777777" w:rsidR="0031484A" w:rsidRPr="0031484A" w:rsidRDefault="0031484A" w:rsidP="00B272FE">
            <w:pPr>
              <w:pStyle w:val="TableParagraph"/>
              <w:spacing w:line="276" w:lineRule="auto"/>
              <w:ind w:right="543"/>
              <w:rPr>
                <w:rFonts w:ascii="Palatino Linotype" w:hAnsi="Palatino Linotype" w:cstheme="majorBidi"/>
                <w:sz w:val="18"/>
                <w:szCs w:val="18"/>
              </w:rPr>
            </w:pPr>
          </w:p>
        </w:tc>
      </w:tr>
    </w:tbl>
    <w:p w14:paraId="3B00E5C6" w14:textId="77777777" w:rsidR="0031484A" w:rsidRPr="0031484A" w:rsidRDefault="0031484A" w:rsidP="00B272FE">
      <w:pPr>
        <w:pStyle w:val="MDPI32textnoindent"/>
        <w:spacing w:line="276" w:lineRule="auto"/>
        <w:ind w:left="0" w:right="543"/>
        <w:jc w:val="center"/>
        <w:rPr>
          <w:rFonts w:cstheme="majorBidi"/>
          <w:sz w:val="18"/>
          <w:szCs w:val="18"/>
        </w:rPr>
      </w:pPr>
      <w:r w:rsidRPr="0031484A">
        <w:rPr>
          <w:rFonts w:cstheme="majorBidi"/>
          <w:sz w:val="18"/>
          <w:szCs w:val="18"/>
        </w:rPr>
        <w:t>CHX:</w:t>
      </w:r>
      <w:r w:rsidRPr="0031484A">
        <w:rPr>
          <w:rFonts w:cstheme="majorBidi"/>
          <w:spacing w:val="-3"/>
          <w:sz w:val="18"/>
          <w:szCs w:val="18"/>
        </w:rPr>
        <w:t xml:space="preserve"> </w:t>
      </w:r>
      <w:r w:rsidRPr="0031484A">
        <w:rPr>
          <w:rFonts w:cstheme="majorBidi"/>
          <w:sz w:val="18"/>
          <w:szCs w:val="18"/>
        </w:rPr>
        <w:t xml:space="preserve">Chlorhexidine; </w:t>
      </w:r>
      <w:r w:rsidRPr="0031484A">
        <w:rPr>
          <w:rFonts w:cstheme="majorBidi"/>
          <w:b/>
          <w:sz w:val="18"/>
          <w:szCs w:val="18"/>
        </w:rPr>
        <w:t>*</w:t>
      </w:r>
      <w:r w:rsidRPr="0031484A">
        <w:rPr>
          <w:rFonts w:cstheme="majorBidi"/>
          <w:sz w:val="18"/>
          <w:szCs w:val="18"/>
        </w:rPr>
        <w:t>Comparison</w:t>
      </w:r>
      <w:r w:rsidRPr="0031484A">
        <w:rPr>
          <w:rFonts w:cstheme="majorBidi"/>
          <w:spacing w:val="30"/>
          <w:sz w:val="18"/>
          <w:szCs w:val="18"/>
        </w:rPr>
        <w:t xml:space="preserve"> </w:t>
      </w:r>
      <w:r w:rsidRPr="0031484A">
        <w:rPr>
          <w:rFonts w:cstheme="majorBidi"/>
          <w:sz w:val="18"/>
          <w:szCs w:val="18"/>
        </w:rPr>
        <w:t>to</w:t>
      </w:r>
      <w:r w:rsidRPr="0031484A">
        <w:rPr>
          <w:rFonts w:cstheme="majorBidi"/>
          <w:spacing w:val="30"/>
          <w:sz w:val="18"/>
          <w:szCs w:val="18"/>
        </w:rPr>
        <w:t xml:space="preserve"> </w:t>
      </w:r>
      <w:r w:rsidRPr="0031484A">
        <w:rPr>
          <w:rFonts w:cstheme="majorBidi"/>
          <w:sz w:val="18"/>
          <w:szCs w:val="18"/>
        </w:rPr>
        <w:t>CHX</w:t>
      </w:r>
      <w:r w:rsidRPr="0031484A">
        <w:rPr>
          <w:rFonts w:cstheme="majorBidi"/>
          <w:spacing w:val="28"/>
          <w:sz w:val="18"/>
          <w:szCs w:val="18"/>
        </w:rPr>
        <w:t xml:space="preserve"> </w:t>
      </w:r>
      <w:r w:rsidRPr="0031484A">
        <w:rPr>
          <w:rFonts w:cstheme="majorBidi"/>
          <w:sz w:val="18"/>
          <w:szCs w:val="18"/>
        </w:rPr>
        <w:t>by</w:t>
      </w:r>
      <w:r w:rsidRPr="0031484A">
        <w:rPr>
          <w:rFonts w:cstheme="majorBidi"/>
          <w:spacing w:val="26"/>
          <w:sz w:val="18"/>
          <w:szCs w:val="18"/>
        </w:rPr>
        <w:t xml:space="preserve"> </w:t>
      </w:r>
      <w:r w:rsidRPr="0031484A">
        <w:rPr>
          <w:rFonts w:cstheme="majorBidi"/>
          <w:sz w:val="18"/>
          <w:szCs w:val="18"/>
        </w:rPr>
        <w:t>Kruskal,</w:t>
      </w:r>
      <w:r w:rsidRPr="0031484A">
        <w:rPr>
          <w:rFonts w:cstheme="majorBidi"/>
          <w:spacing w:val="30"/>
          <w:sz w:val="18"/>
          <w:szCs w:val="18"/>
        </w:rPr>
        <w:t xml:space="preserve"> </w:t>
      </w:r>
      <w:r w:rsidRPr="0031484A">
        <w:rPr>
          <w:rFonts w:cstheme="majorBidi"/>
          <w:sz w:val="18"/>
          <w:szCs w:val="18"/>
        </w:rPr>
        <w:t>significance</w:t>
      </w:r>
      <w:r w:rsidRPr="0031484A">
        <w:rPr>
          <w:rFonts w:cstheme="majorBidi"/>
          <w:spacing w:val="28"/>
          <w:sz w:val="18"/>
          <w:szCs w:val="18"/>
        </w:rPr>
        <w:t xml:space="preserve"> </w:t>
      </w:r>
      <w:r w:rsidRPr="0031484A">
        <w:rPr>
          <w:rFonts w:cstheme="majorBidi"/>
          <w:sz w:val="18"/>
          <w:szCs w:val="18"/>
        </w:rPr>
        <w:t>at</w:t>
      </w:r>
      <w:r w:rsidRPr="0031484A">
        <w:rPr>
          <w:rFonts w:cstheme="majorBidi"/>
          <w:spacing w:val="34"/>
          <w:sz w:val="18"/>
          <w:szCs w:val="18"/>
        </w:rPr>
        <w:t xml:space="preserve"> </w:t>
      </w:r>
      <w:r w:rsidRPr="0031484A">
        <w:rPr>
          <w:rFonts w:cstheme="majorBidi"/>
          <w:i/>
          <w:sz w:val="18"/>
          <w:szCs w:val="18"/>
        </w:rPr>
        <w:t>P</w:t>
      </w:r>
      <w:r w:rsidRPr="0031484A">
        <w:rPr>
          <w:rFonts w:cstheme="majorBidi"/>
          <w:sz w:val="18"/>
          <w:szCs w:val="18"/>
        </w:rPr>
        <w:t>&lt;</w:t>
      </w:r>
      <w:r w:rsidRPr="0031484A">
        <w:rPr>
          <w:rFonts w:cstheme="majorBidi"/>
          <w:spacing w:val="28"/>
          <w:sz w:val="18"/>
          <w:szCs w:val="18"/>
        </w:rPr>
        <w:t xml:space="preserve"> </w:t>
      </w:r>
      <w:r w:rsidRPr="0031484A">
        <w:rPr>
          <w:rFonts w:cstheme="majorBidi"/>
          <w:sz w:val="18"/>
          <w:szCs w:val="18"/>
        </w:rPr>
        <w:t>0.05.</w:t>
      </w:r>
      <w:r w:rsidRPr="0031484A">
        <w:rPr>
          <w:rFonts w:cstheme="majorBidi"/>
          <w:spacing w:val="28"/>
          <w:sz w:val="18"/>
          <w:szCs w:val="18"/>
        </w:rPr>
        <w:t xml:space="preserve"> </w:t>
      </w:r>
      <w:r w:rsidRPr="0031484A">
        <w:rPr>
          <w:rFonts w:cstheme="majorBidi"/>
          <w:b/>
          <w:sz w:val="18"/>
          <w:szCs w:val="18"/>
        </w:rPr>
        <w:t>^</w:t>
      </w:r>
      <w:r w:rsidRPr="0031484A">
        <w:rPr>
          <w:rFonts w:cstheme="majorBidi"/>
          <w:sz w:val="18"/>
          <w:szCs w:val="18"/>
        </w:rPr>
        <w:t>Comparison</w:t>
      </w:r>
    </w:p>
    <w:p w14:paraId="78F8247A" w14:textId="62E635C2" w:rsidR="00B03755" w:rsidRDefault="00A33B32" w:rsidP="006D3EBC">
      <w:pPr>
        <w:pStyle w:val="Body"/>
        <w:spacing w:before="240" w:after="60" w:line="276" w:lineRule="auto"/>
        <w:ind w:right="543" w:firstLine="0"/>
        <w:rPr>
          <w:iCs/>
        </w:rPr>
      </w:pPr>
      <w:r w:rsidRPr="00A33B32">
        <w:rPr>
          <w:iCs/>
        </w:rPr>
        <w:lastRenderedPageBreak/>
        <w:t xml:space="preserve">As there were no and barely detectable antibacterial sensitivity of Augmentin and </w:t>
      </w:r>
      <w:r w:rsidR="00E54A81">
        <w:rPr>
          <w:iCs/>
        </w:rPr>
        <w:t>M</w:t>
      </w:r>
      <w:r w:rsidR="00E54A81" w:rsidRPr="00A33B32">
        <w:rPr>
          <w:iCs/>
        </w:rPr>
        <w:t>etronidazole</w:t>
      </w:r>
      <w:r w:rsidRPr="00A33B32">
        <w:rPr>
          <w:iCs/>
        </w:rPr>
        <w:t xml:space="preserve"> against </w:t>
      </w:r>
      <w:r w:rsidRPr="00A33B32">
        <w:rPr>
          <w:i/>
        </w:rPr>
        <w:t>P. gingivalis</w:t>
      </w:r>
      <w:r w:rsidRPr="00A33B32">
        <w:rPr>
          <w:iCs/>
        </w:rPr>
        <w:t xml:space="preserve"> in disk diffusion method, only the MIC values of the ethanolic extract from Mo leaves against </w:t>
      </w:r>
      <w:r w:rsidRPr="00A33B32">
        <w:rPr>
          <w:i/>
        </w:rPr>
        <w:t>P. gingivalis</w:t>
      </w:r>
      <w:r w:rsidRPr="00A33B32">
        <w:rPr>
          <w:iCs/>
        </w:rPr>
        <w:t xml:space="preserve"> were determined through serial macro dilutions, assessed by optical density (OD). The lowest concentration of Mo extract exhibiting antibacterial efficacy against </w:t>
      </w:r>
      <w:r w:rsidRPr="00A33B32">
        <w:rPr>
          <w:i/>
        </w:rPr>
        <w:t>P. gingivalis</w:t>
      </w:r>
      <w:r w:rsidRPr="00A33B32">
        <w:rPr>
          <w:iCs/>
        </w:rPr>
        <w:t xml:space="preserve"> was 0.78 mg/ml (OD=0.025). Furthermore, the extract exhibited minimal bactericidal effect at concentration 1.55 mg/ml compared to CHX at concentration 0.06 mg/ml (OD=0.014).</w:t>
      </w:r>
    </w:p>
    <w:p w14:paraId="22534264" w14:textId="367D6886" w:rsidR="008C3385" w:rsidRPr="008C3385" w:rsidRDefault="008C3385" w:rsidP="006D3EBC">
      <w:pPr>
        <w:pStyle w:val="Body"/>
        <w:spacing w:before="240" w:after="60" w:line="276" w:lineRule="auto"/>
        <w:ind w:right="543" w:hanging="11"/>
      </w:pPr>
      <w:r w:rsidRPr="008C3385">
        <w:t xml:space="preserve">Anti-biofilm assay of </w:t>
      </w:r>
      <w:r w:rsidR="00AC0AC7" w:rsidRPr="00AC0AC7">
        <w:t>Mo</w:t>
      </w:r>
      <w:r w:rsidR="00AC0AC7" w:rsidRPr="001D011A">
        <w:t xml:space="preserve"> </w:t>
      </w:r>
      <w:r w:rsidRPr="001D011A">
        <w:t xml:space="preserve">leaf ethanolic </w:t>
      </w:r>
      <w:r w:rsidRPr="008C3385">
        <w:t xml:space="preserve">extracts </w:t>
      </w:r>
    </w:p>
    <w:p w14:paraId="1BA3C3E6" w14:textId="0E87B281" w:rsidR="008C3385" w:rsidRDefault="008C3385" w:rsidP="006D3EBC">
      <w:pPr>
        <w:pStyle w:val="Body"/>
        <w:spacing w:line="276" w:lineRule="auto"/>
        <w:ind w:right="543" w:hanging="11"/>
      </w:pPr>
      <w:r w:rsidRPr="001D011A">
        <w:t xml:space="preserve">The </w:t>
      </w:r>
      <w:r w:rsidR="001D011A">
        <w:t>a</w:t>
      </w:r>
      <w:r w:rsidRPr="001D011A">
        <w:t xml:space="preserve">nti-biofilm </w:t>
      </w:r>
      <w:r w:rsidR="001D011A">
        <w:t>influence of the ethanolic ext</w:t>
      </w:r>
      <w:r w:rsidR="00290935">
        <w:t>r</w:t>
      </w:r>
      <w:r w:rsidR="001D011A">
        <w:t xml:space="preserve">act of </w:t>
      </w:r>
      <w:r w:rsidR="00AC0AC7" w:rsidRPr="00AC0AC7">
        <w:t xml:space="preserve">Mo </w:t>
      </w:r>
      <w:r w:rsidR="001D011A" w:rsidRPr="00AC0AC7">
        <w:t>leaf</w:t>
      </w:r>
      <w:r w:rsidR="001D011A">
        <w:t xml:space="preserve"> </w:t>
      </w:r>
      <w:r w:rsidRPr="001D011A">
        <w:t xml:space="preserve">revealed </w:t>
      </w:r>
      <w:r w:rsidR="00B870C6">
        <w:t>significant highest</w:t>
      </w:r>
      <w:r w:rsidRPr="001D011A">
        <w:t xml:space="preserve"> anti-biofilm </w:t>
      </w:r>
      <w:r w:rsidR="001D011A">
        <w:t>activity</w:t>
      </w:r>
      <w:r w:rsidRPr="001D011A">
        <w:t xml:space="preserve"> at a concentration of </w:t>
      </w:r>
      <w:r w:rsidR="00290935">
        <w:t>1.55</w:t>
      </w:r>
      <w:r w:rsidRPr="001D011A">
        <w:t xml:space="preserve"> mg/ml</w:t>
      </w:r>
      <w:r w:rsidR="00290935">
        <w:t xml:space="preserve"> (MBC value)</w:t>
      </w:r>
      <w:r w:rsidRPr="001D011A">
        <w:t>, which was equivalent to 0.06% CHX</w:t>
      </w:r>
      <w:r w:rsidR="00B870C6">
        <w:t xml:space="preserve"> compared to other Mo leaf extract’s concentrations (P</w:t>
      </w:r>
      <w:r w:rsidR="00B870C6" w:rsidRPr="00B870C6">
        <w:t xml:space="preserve"> &lt;0.0001</w:t>
      </w:r>
      <w:r w:rsidR="00B870C6">
        <w:t>).</w:t>
      </w:r>
      <w:r w:rsidRPr="001D011A">
        <w:t xml:space="preserve"> </w:t>
      </w:r>
      <w:r w:rsidR="00290935">
        <w:t>This</w:t>
      </w:r>
      <w:r w:rsidRPr="001D011A">
        <w:t xml:space="preserve"> had a similar effect </w:t>
      </w:r>
      <w:r w:rsidR="00B870C6">
        <w:t xml:space="preserve">at </w:t>
      </w:r>
      <w:r w:rsidR="0084598B">
        <w:t xml:space="preserve">a </w:t>
      </w:r>
      <w:r w:rsidR="0084598B" w:rsidRPr="001D011A">
        <w:t>concentration</w:t>
      </w:r>
      <w:r w:rsidRPr="001D011A">
        <w:t xml:space="preserve"> of </w:t>
      </w:r>
      <w:r w:rsidR="00290935">
        <w:t>0.78</w:t>
      </w:r>
      <w:r w:rsidRPr="001D011A">
        <w:t xml:space="preserve"> mg/ml </w:t>
      </w:r>
      <w:r w:rsidR="00290935">
        <w:t>which represent the MIC value</w:t>
      </w:r>
      <w:r w:rsidRPr="001D011A">
        <w:t xml:space="preserve">, </w:t>
      </w:r>
      <w:r w:rsidR="00B870C6">
        <w:t xml:space="preserve">followed by lowest anti-biofilm activity at 0.34 mg/ml, </w:t>
      </w:r>
      <w:r w:rsidRPr="001D011A">
        <w:t xml:space="preserve">as shown in </w:t>
      </w:r>
      <w:r w:rsidR="00C41009">
        <w:t>F</w:t>
      </w:r>
      <w:r w:rsidR="00C41009" w:rsidRPr="001D011A">
        <w:t xml:space="preserve">igure </w:t>
      </w:r>
      <w:r w:rsidR="007950C2">
        <w:t>4</w:t>
      </w:r>
      <w:r w:rsidRPr="001D011A">
        <w:t>.</w:t>
      </w:r>
      <w:r w:rsidR="00290935">
        <w:t xml:space="preserve"> Interestingly, </w:t>
      </w:r>
      <w:r w:rsidRPr="001D011A">
        <w:t xml:space="preserve">the anti-biofilm score of </w:t>
      </w:r>
      <w:r w:rsidR="00AC0AC7" w:rsidRPr="00AC0AC7">
        <w:t>Mo</w:t>
      </w:r>
      <w:r w:rsidR="00AC0AC7" w:rsidRPr="001D011A">
        <w:t xml:space="preserve"> </w:t>
      </w:r>
      <w:r w:rsidR="00AC0AC7">
        <w:t xml:space="preserve">leaf </w:t>
      </w:r>
      <w:r w:rsidRPr="001D011A">
        <w:t xml:space="preserve">extract was increased with a decrease in extract concentrations. The experiment was conducted </w:t>
      </w:r>
      <w:r w:rsidR="00E07E57">
        <w:t xml:space="preserve">in </w:t>
      </w:r>
      <w:r w:rsidRPr="001D011A">
        <w:t>triplicate at three different times.</w:t>
      </w:r>
    </w:p>
    <w:p w14:paraId="4B18424B" w14:textId="77777777" w:rsidR="00A805CE" w:rsidRDefault="00A805CE" w:rsidP="00B272FE">
      <w:pPr>
        <w:pStyle w:val="Body"/>
        <w:spacing w:line="240" w:lineRule="atLeast"/>
        <w:ind w:right="543" w:hanging="11"/>
      </w:pPr>
    </w:p>
    <w:p w14:paraId="223A61F8" w14:textId="519BBA24" w:rsidR="00290935" w:rsidRPr="001D011A" w:rsidRDefault="00A05E1B" w:rsidP="00B272FE">
      <w:pPr>
        <w:pStyle w:val="Body"/>
        <w:spacing w:line="240" w:lineRule="atLeast"/>
        <w:ind w:right="543" w:hanging="11"/>
        <w:jc w:val="center"/>
      </w:pPr>
      <w:r>
        <w:object w:dxaOrig="6538" w:dyaOrig="5715" w14:anchorId="1E50F2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pt;height:191.35pt" o:ole="">
            <v:imagedata r:id="rId23" o:title=""/>
          </v:shape>
          <o:OLEObject Type="Embed" ProgID="Prism10.Document" ShapeID="_x0000_i1025" DrawAspect="Content" ObjectID="_1827257996" r:id="rId24"/>
        </w:object>
      </w:r>
    </w:p>
    <w:p w14:paraId="2D7B3E30" w14:textId="2232F696" w:rsidR="001D011A" w:rsidRPr="00452CB0" w:rsidRDefault="00912E03" w:rsidP="003920BF">
      <w:pPr>
        <w:pStyle w:val="MsoFootnoteText0"/>
        <w:spacing w:before="240" w:after="60" w:line="240" w:lineRule="atLeast"/>
        <w:ind w:right="543" w:firstLine="0"/>
        <w:jc w:val="center"/>
        <w:rPr>
          <w:rFonts w:ascii="Palatino Linotype" w:hAnsi="Palatino Linotype"/>
          <w:iCs/>
        </w:rPr>
      </w:pPr>
      <w:r w:rsidRPr="00452CB0">
        <w:rPr>
          <w:rFonts w:ascii="Palatino Linotype" w:hAnsi="Palatino Linotype"/>
          <w:b/>
          <w:bCs/>
          <w:iCs/>
        </w:rPr>
        <w:t xml:space="preserve">Figure </w:t>
      </w:r>
      <w:r w:rsidR="007950C2">
        <w:rPr>
          <w:rFonts w:ascii="Palatino Linotype" w:hAnsi="Palatino Linotype"/>
          <w:b/>
          <w:bCs/>
          <w:iCs/>
        </w:rPr>
        <w:t>4</w:t>
      </w:r>
      <w:r w:rsidRPr="00452CB0">
        <w:rPr>
          <w:rFonts w:ascii="Palatino Linotype" w:hAnsi="Palatino Linotype"/>
          <w:b/>
          <w:bCs/>
          <w:iCs/>
        </w:rPr>
        <w:t>:</w:t>
      </w:r>
      <w:r w:rsidRPr="00452CB0">
        <w:rPr>
          <w:rFonts w:ascii="Palatino Linotype" w:hAnsi="Palatino Linotype"/>
          <w:iCs/>
        </w:rPr>
        <w:t xml:space="preserve"> Anti-biofilm effect of </w:t>
      </w:r>
      <w:r w:rsidR="00AC0AC7" w:rsidRPr="00452CB0">
        <w:rPr>
          <w:rFonts w:ascii="Palatino Linotype" w:hAnsi="Palatino Linotype"/>
        </w:rPr>
        <w:t>Mo</w:t>
      </w:r>
      <w:r w:rsidR="00AC0AC7" w:rsidRPr="00452CB0">
        <w:rPr>
          <w:rFonts w:ascii="Palatino Linotype" w:hAnsi="Palatino Linotype"/>
          <w:iCs/>
        </w:rPr>
        <w:t xml:space="preserve"> </w:t>
      </w:r>
      <w:r w:rsidRPr="00452CB0">
        <w:rPr>
          <w:rFonts w:ascii="Palatino Linotype" w:hAnsi="Palatino Linotype"/>
          <w:iCs/>
        </w:rPr>
        <w:t>Leaf ethanolic extract concentrations compared to 0.06% chlorhexidine</w:t>
      </w:r>
      <w:r w:rsidR="00F75382" w:rsidRPr="00452CB0">
        <w:rPr>
          <w:rFonts w:ascii="Palatino Linotype" w:hAnsi="Palatino Linotype"/>
          <w:iCs/>
        </w:rPr>
        <w:t xml:space="preserve"> </w:t>
      </w:r>
      <w:r w:rsidR="00F75382" w:rsidRPr="00452CB0">
        <w:rPr>
          <w:rFonts w:ascii="Palatino Linotype" w:hAnsi="Palatino Linotype"/>
        </w:rPr>
        <w:t>was detected using the tube adhesion method</w:t>
      </w:r>
      <w:r w:rsidRPr="00452CB0">
        <w:rPr>
          <w:rFonts w:ascii="Palatino Linotype" w:hAnsi="Palatino Linotype"/>
          <w:iCs/>
        </w:rPr>
        <w:t xml:space="preserve">. </w:t>
      </w:r>
      <w:r w:rsidR="00F75382" w:rsidRPr="00452CB0">
        <w:rPr>
          <w:rFonts w:ascii="Palatino Linotype" w:hAnsi="Palatino Linotype"/>
        </w:rPr>
        <w:t>Serial dilutions of the test tubes were poured and rinsed for 1 min with phosphate-buffered solution at pH 7.3, and left to dry. Staining with 0.1% crystal violet were conducted with all tubes for 1 min and rinsing with distilled water to remove the remaining stain.</w:t>
      </w:r>
      <w:r w:rsidR="00FC2664">
        <w:rPr>
          <w:rFonts w:ascii="Palatino Linotype" w:hAnsi="Palatino Linotype"/>
        </w:rPr>
        <w:t xml:space="preserve"> Antibiofilm activity was viewed in term of stain formation score. Highest antibiofilm effect was viewed with no/weak stain and vise versa.</w:t>
      </w:r>
      <w:r w:rsidRPr="00452CB0">
        <w:rPr>
          <w:rFonts w:ascii="Palatino Linotype" w:hAnsi="Palatino Linotype"/>
          <w:iCs/>
        </w:rPr>
        <w:t xml:space="preserve"> Score 1=absent or weak stain; 2=moderate stain; 3=strong. MoL: Mo leaf, CHX: chlorhexidine 0.06% used as a positive control. The experiment was conducted </w:t>
      </w:r>
      <w:r w:rsidR="00E07E57" w:rsidRPr="00452CB0">
        <w:rPr>
          <w:rFonts w:ascii="Palatino Linotype" w:hAnsi="Palatino Linotype"/>
          <w:iCs/>
        </w:rPr>
        <w:t>in</w:t>
      </w:r>
      <w:r w:rsidRPr="00452CB0">
        <w:rPr>
          <w:rFonts w:ascii="Palatino Linotype" w:hAnsi="Palatino Linotype"/>
          <w:iCs/>
        </w:rPr>
        <w:t xml:space="preserve"> triplicate </w:t>
      </w:r>
      <w:r w:rsidR="00E07E57" w:rsidRPr="00452CB0">
        <w:rPr>
          <w:rFonts w:ascii="Palatino Linotype" w:hAnsi="Palatino Linotype"/>
          <w:iCs/>
        </w:rPr>
        <w:t>at</w:t>
      </w:r>
      <w:r w:rsidRPr="00452CB0">
        <w:rPr>
          <w:rFonts w:ascii="Palatino Linotype" w:hAnsi="Palatino Linotype"/>
          <w:iCs/>
        </w:rPr>
        <w:t xml:space="preserve"> three </w:t>
      </w:r>
      <w:r w:rsidRPr="00984C13">
        <w:rPr>
          <w:rFonts w:ascii="Palatino Linotype" w:hAnsi="Palatino Linotype"/>
          <w:iCs/>
          <w:szCs w:val="20"/>
        </w:rPr>
        <w:t>different times.</w:t>
      </w:r>
      <w:r w:rsidR="00984C13" w:rsidRPr="00984C13">
        <w:rPr>
          <w:rFonts w:ascii="Palatino Linotype" w:hAnsi="Palatino Linotype"/>
          <w:iCs/>
          <w:szCs w:val="20"/>
        </w:rPr>
        <w:t xml:space="preserve"> </w:t>
      </w:r>
      <w:r w:rsidR="00AD76DF">
        <w:rPr>
          <w:rFonts w:ascii="Palatino Linotype" w:hAnsi="Palatino Linotype" w:cstheme="majorBidi"/>
          <w:szCs w:val="20"/>
        </w:rPr>
        <w:t>S</w:t>
      </w:r>
      <w:r w:rsidR="00984C13" w:rsidRPr="00984C13">
        <w:rPr>
          <w:rFonts w:ascii="Palatino Linotype" w:hAnsi="Palatino Linotype" w:cstheme="majorBidi"/>
          <w:szCs w:val="20"/>
        </w:rPr>
        <w:t>ignificance</w:t>
      </w:r>
      <w:r w:rsidR="00984C13" w:rsidRPr="00984C13">
        <w:rPr>
          <w:rFonts w:ascii="Palatino Linotype" w:hAnsi="Palatino Linotype" w:cstheme="majorBidi"/>
          <w:spacing w:val="28"/>
          <w:szCs w:val="20"/>
        </w:rPr>
        <w:t xml:space="preserve"> </w:t>
      </w:r>
      <w:r w:rsidR="00984C13" w:rsidRPr="00984C13">
        <w:rPr>
          <w:rFonts w:ascii="Palatino Linotype" w:hAnsi="Palatino Linotype" w:cstheme="majorBidi"/>
          <w:szCs w:val="20"/>
        </w:rPr>
        <w:t>at</w:t>
      </w:r>
      <w:r w:rsidR="00984C13" w:rsidRPr="00984C13">
        <w:rPr>
          <w:rFonts w:ascii="Palatino Linotype" w:hAnsi="Palatino Linotype" w:cstheme="majorBidi"/>
          <w:spacing w:val="34"/>
          <w:szCs w:val="20"/>
        </w:rPr>
        <w:t xml:space="preserve"> </w:t>
      </w:r>
      <w:r w:rsidR="00984C13" w:rsidRPr="00984C13">
        <w:rPr>
          <w:rFonts w:ascii="Palatino Linotype" w:hAnsi="Palatino Linotype" w:cstheme="majorBidi"/>
          <w:i/>
          <w:szCs w:val="20"/>
        </w:rPr>
        <w:t>P</w:t>
      </w:r>
      <w:r w:rsidR="00984C13" w:rsidRPr="00984C13">
        <w:rPr>
          <w:rFonts w:ascii="Palatino Linotype" w:hAnsi="Palatino Linotype" w:cstheme="majorBidi"/>
          <w:szCs w:val="20"/>
        </w:rPr>
        <w:t>&lt;</w:t>
      </w:r>
      <w:r w:rsidR="00984C13" w:rsidRPr="00984C13">
        <w:rPr>
          <w:rFonts w:ascii="Palatino Linotype" w:hAnsi="Palatino Linotype" w:cstheme="majorBidi"/>
          <w:spacing w:val="28"/>
          <w:szCs w:val="20"/>
        </w:rPr>
        <w:t xml:space="preserve"> </w:t>
      </w:r>
      <w:r w:rsidR="00984C13" w:rsidRPr="00984C13">
        <w:rPr>
          <w:rFonts w:ascii="Palatino Linotype" w:hAnsi="Palatino Linotype" w:cstheme="majorBidi"/>
          <w:szCs w:val="20"/>
        </w:rPr>
        <w:t>0.05</w:t>
      </w:r>
      <w:r w:rsidR="00984C13">
        <w:rPr>
          <w:rFonts w:ascii="Palatino Linotype" w:hAnsi="Palatino Linotype" w:cstheme="majorBidi"/>
          <w:szCs w:val="20"/>
        </w:rPr>
        <w:t xml:space="preserve"> and shared letter </w:t>
      </w:r>
      <w:r w:rsidR="00AD76DF">
        <w:rPr>
          <w:rFonts w:ascii="Palatino Linotype" w:hAnsi="Palatino Linotype" w:cstheme="majorBidi"/>
          <w:szCs w:val="20"/>
        </w:rPr>
        <w:t>show non-significant difference.</w:t>
      </w:r>
    </w:p>
    <w:p w14:paraId="03A005D5" w14:textId="3E390B82" w:rsidR="00CC3469" w:rsidRPr="00415B59" w:rsidRDefault="00CC3469" w:rsidP="00B272FE">
      <w:pPr>
        <w:pStyle w:val="Body"/>
        <w:spacing w:before="240" w:after="60" w:line="240" w:lineRule="atLeast"/>
        <w:ind w:left="0" w:right="543" w:firstLine="720"/>
        <w:rPr>
          <w:b/>
          <w:bCs/>
        </w:rPr>
      </w:pPr>
      <w:r w:rsidRPr="00415B59">
        <w:rPr>
          <w:b/>
          <w:bCs/>
        </w:rPr>
        <w:t>Discussion</w:t>
      </w:r>
    </w:p>
    <w:p w14:paraId="6A684DE3" w14:textId="28371E37" w:rsidR="00481A63" w:rsidRPr="00376BE8" w:rsidRDefault="003920BF" w:rsidP="00B272FE">
      <w:pPr>
        <w:pBdr>
          <w:top w:val="nil"/>
          <w:left w:val="nil"/>
          <w:bottom w:val="nil"/>
          <w:right w:val="nil"/>
          <w:between w:val="nil"/>
          <w:bar w:val="nil"/>
        </w:pBdr>
        <w:spacing w:before="240" w:after="60" w:line="276" w:lineRule="auto"/>
        <w:ind w:left="720" w:right="543"/>
        <w:jc w:val="both"/>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pPr>
      <w:r>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A33B32"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The main objective in treating periodontitis is to </w:t>
      </w:r>
      <w:r w:rsidR="00E6012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produce a healthy</w:t>
      </w:r>
      <w:r w:rsidR="00A33B32"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periodontal environment </w:t>
      </w:r>
      <w:r w:rsidR="00E6012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by promoting</w:t>
      </w:r>
      <w:r w:rsidR="00A33B32"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health-associated bacteria</w:t>
      </w:r>
      <w:r w:rsidR="00E6012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which results in an </w:t>
      </w:r>
      <w:r w:rsidR="00A33B32"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equilibrium </w:t>
      </w:r>
      <w:r w:rsidR="00E6012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between</w:t>
      </w:r>
      <w:r w:rsidR="00A33B32"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the host defense system</w:t>
      </w:r>
      <w:r w:rsidR="00E6012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and the oral </w:t>
      </w:r>
      <w:proofErr w:type="spellStart"/>
      <w:r w:rsidR="00E6012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miroflora</w:t>
      </w:r>
      <w:proofErr w:type="spellEnd"/>
      <w:r w:rsidR="00A33B32"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A33B32"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begin"/>
      </w:r>
      <w:r w:rsidR="00A33B32"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&lt;EndNote&gt;&lt;Cite&gt;&lt;Author&gt;Teles&lt;/Author&gt;&lt;Year&gt;2006&lt;/Year&gt;&lt;RecNum&gt;32&lt;/RecNum&gt;&lt;DisplayText&gt;(20)&lt;/DisplayText&gt;&lt;record&gt;&lt;rec-number&gt;32&lt;/rec-number&gt;&lt;foreign-keys&gt;&lt;key app="EN" db-id="v5s0tzapa9r2fle0x23pp52lzewrrzpzrxxs" timestamp="1703439732"&gt;32&lt;/key&gt;&lt;/foreign-keys&gt;&lt;ref-type name="Journal Article"&gt;17&lt;/ref-type&gt;&lt;contributors&gt;&lt;authors&gt;&lt;author&gt;Teles, Ricardo P&lt;/author&gt;&lt;author&gt;Haffajee, Anne D&lt;/author&gt;&lt;author&gt;Socransky, Sigmund S&lt;/author&gt;&lt;/authors&gt;&lt;/contributors&gt;&lt;titles&gt;&lt;title&gt;Microbiological goals of periodontal therapy&lt;/title&gt;&lt;secondary-title&gt;Periodontology 2000&lt;/secondary-title&gt;&lt;/titles&gt;&lt;periodical&gt;&lt;full-title&gt;Periodontology 2000&lt;/full-title&gt;&lt;/periodical&gt;&lt;pages&gt;180-218&lt;/pages&gt;&lt;volume&gt;42&lt;/volume&gt;&lt;number&gt;1&lt;/number&gt;&lt;dates&gt;&lt;year&gt;2006&lt;/year&gt;&lt;/dates&gt;&lt;isbn&gt;0906-6713&lt;/isbn&gt;&lt;urls&gt;&lt;/urls&gt;&lt;/record&gt;&lt;/Cite&gt;&lt;/EndNote&gt;</w:instrText>
      </w:r>
      <w:r w:rsidR="00A33B32"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separate"/>
      </w:r>
      <w:r w:rsidR="00A33B32"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B92C8D">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2</w:t>
      </w:r>
      <w:r w:rsidR="00014CE4">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6</w:t>
      </w:r>
      <w:r w:rsidR="00A33B32"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A33B32" w:rsidRPr="00A33B32">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fldChar w:fldCharType="end"/>
      </w:r>
      <w:r w:rsidR="00A33B32"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00A33B32" w:rsidRPr="00A33B32">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xml:space="preserve"> </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Virulent pathogenic bacteria are commonly resid in deep periodontal lesions. These areas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are effectively treated by</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traditional non-surgical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and surgical </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treatments,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with </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necessitating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the use of adjunctive </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systemic anti-bacterial therapy</w:t>
      </w:r>
      <w:r w:rsidR="00E92474"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A33B32"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begin"/>
      </w:r>
      <w:r w:rsidR="00A33B32"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&lt;EndNote&gt;&lt;Cite&gt;&lt;Author&gt;Chen&lt;/Author&gt;&lt;Year&gt;2020&lt;/Year&gt;&lt;RecNum&gt;33&lt;/RecNum&gt;&lt;DisplayText&gt;(21)&lt;/DisplayText&gt;&lt;record&gt;&lt;rec-number&gt;33&lt;/rec-number&gt;&lt;foreign-keys&gt;&lt;key app="EN" db-id="v5s0tzapa9r2fle0x23pp52lzewrrzpzrxxs" timestamp="1703440038"&gt;33&lt;/key&gt;&lt;/foreign-keys&gt;&lt;ref-type name="Journal Article"&gt;17&lt;/ref-type&gt;&lt;contributors&gt;&lt;authors&gt;&lt;author&gt;Chen, Casey&lt;/author&gt;&lt;author&gt;Feng, Pinghui&lt;/author&gt;&lt;author&gt;Slots, Jørgen&lt;/author&gt;&lt;/authors&gt;&lt;/contributors&gt;&lt;titles&gt;&lt;title&gt;Herpesvirus‐bacteria synergistic interaction in periodontitis&lt;/title&gt;&lt;secondary-title&gt;Periodontology 2000&lt;/secondary-title&gt;&lt;/titles&gt;&lt;periodical&gt;&lt;full-title&gt;Periodontology 2000&lt;/full-title&gt;&lt;/periodical&gt;&lt;pages&gt;42-64&lt;/pages&gt;&lt;volume&gt;82&lt;/volume&gt;&lt;number&gt;1&lt;/number&gt;&lt;dates&gt;&lt;year&gt;2020&lt;/year&gt;&lt;/dates&gt;&lt;isbn&gt;0906-6713&lt;/isbn&gt;&lt;urls&gt;&lt;/urls&gt;&lt;/record&gt;&lt;/Cite&gt;&lt;/EndNote&gt;</w:instrText>
      </w:r>
      <w:r w:rsidR="00A33B32"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separate"/>
      </w:r>
      <w:r w:rsidR="00A33B32"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014CE4">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4</w:t>
      </w:r>
      <w:r w:rsidR="00A33B32"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A33B32" w:rsidRPr="00376BE8">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fldChar w:fldCharType="end"/>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A33B32" w:rsidRPr="00376BE8">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P. gingivalis</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recognized as a critical pathogen in periodontal health, is documented to</w:t>
      </w:r>
      <w:r w:rsidR="00A33B32" w:rsidRPr="00376BE8">
        <w:rPr>
          <w:rFonts w:ascii="Palatino Linotype" w:eastAsia="Palatino Linotype" w:hAnsi="Palatino Linotype" w:cs="Palatino Linotype" w:hint="cs"/>
          <w:color w:val="000000"/>
          <w:sz w:val="20"/>
          <w:szCs w:val="20"/>
          <w:u w:color="000000"/>
          <w:bdr w:val="nil"/>
          <w:rtl/>
          <w:lang w:bidi="ar-IQ"/>
          <w14:textOutline w14:w="0" w14:cap="flat" w14:cmpd="sng" w14:algn="ctr">
            <w14:noFill/>
            <w14:prstDash w14:val="solid"/>
            <w14:bevel/>
          </w14:textOutline>
        </w:rPr>
        <w:t xml:space="preserve"> </w:t>
      </w:r>
      <w:r w:rsidR="00A33B32" w:rsidRPr="00376BE8">
        <w:rPr>
          <w:rFonts w:ascii="Palatino Linotype" w:eastAsia="Palatino Linotype" w:hAnsi="Palatino Linotype" w:cs="Palatino Linotype"/>
          <w:color w:val="000000"/>
          <w:sz w:val="20"/>
          <w:szCs w:val="20"/>
          <w:u w:color="000000"/>
          <w:bdr w:val="nil"/>
          <w:lang w:val="en-GB"/>
          <w14:textOutline w14:w="0" w14:cap="flat" w14:cmpd="sng" w14:algn="ctr">
            <w14:noFill/>
            <w14:prstDash w14:val="solid"/>
            <w14:bevel/>
          </w14:textOutline>
        </w:rPr>
        <w:t>exert</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a significant influence triggering the onset and advancement of periodontitis by switching the subgingival microflora from being symbiotic to </w:t>
      </w:r>
      <w:proofErr w:type="spellStart"/>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dysbiotic</w:t>
      </w:r>
      <w:proofErr w:type="spellEnd"/>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one, </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lastRenderedPageBreak/>
        <w:t xml:space="preserve">deteriorating the entire sub-gingival microbial ecosystems. Focusing on this pathogen could disrupt various pathways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and interactions </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associated with the progression of periodontal disease, including direct bacterial interaction and manipulation or evasion of the host's immune response</w:t>
      </w:r>
      <w:r w:rsidR="00D14BDC">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D14BDC" w:rsidRPr="00D14BDC">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(1)</w:t>
      </w:r>
      <w:r w:rsidR="00A33B32"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00EF1956"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333866"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p>
    <w:p w14:paraId="41DAB9CD" w14:textId="37E4B2EE" w:rsidR="004F7560" w:rsidRPr="00376BE8" w:rsidRDefault="004F7560" w:rsidP="00B272FE">
      <w:pPr>
        <w:pBdr>
          <w:top w:val="nil"/>
          <w:left w:val="nil"/>
          <w:bottom w:val="nil"/>
          <w:right w:val="nil"/>
          <w:between w:val="nil"/>
          <w:bar w:val="nil"/>
        </w:pBdr>
        <w:tabs>
          <w:tab w:val="left" w:pos="1134"/>
        </w:tabs>
        <w:spacing w:before="240" w:line="276" w:lineRule="auto"/>
        <w:ind w:left="720" w:right="543"/>
        <w:jc w:val="both"/>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pP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Sampling of subgingival biofilm using paper point was widely used for isolation and counting of subgingival microbiome compared to other methods include curette sampling. Although curette instrument has shown to harvest significantly more bacteria as it collects and penetrate the apical part of subgingival biofilm in both dental and periodontal tissue parts, the composition of different periodontal pathogens including </w:t>
      </w:r>
      <w:r w:rsidRPr="00376BE8">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P. gingivalis</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as collected by paper point was found to be similar</w:t>
      </w:r>
      <w:r w:rsidR="00D14F0C"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D14F0C"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AA2E30">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27</w:t>
      </w:r>
      <w:r w:rsidR="00606A6B"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F76989"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or even higher</w:t>
      </w:r>
      <w:r w:rsidR="00B03285"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B03285"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AA2E30">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28</w:t>
      </w:r>
      <w:r w:rsidR="00B03285"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B03285"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compared to curette sampling, indicating that both are suitable for routine microbiological diagnostics. However, the invasive and traumatic nature of using curettes can exerts sense of patient discomfort compared to easy non-invasive use of paper point in subgingival biofilm sampling. For all these reasons, paper point technique was used for subgingival biofilm sampling.   </w:t>
      </w:r>
    </w:p>
    <w:p w14:paraId="02536683" w14:textId="6ECD3802" w:rsidR="002D54EB" w:rsidRPr="00376BE8" w:rsidRDefault="002D54EB" w:rsidP="00B272FE">
      <w:pPr>
        <w:pStyle w:val="MsoFootnoteText0"/>
        <w:spacing w:before="240" w:after="60" w:line="240" w:lineRule="atLeast"/>
        <w:ind w:right="543" w:firstLine="0"/>
        <w:rPr>
          <w:rFonts w:ascii="Palatino Linotype" w:hAnsi="Palatino Linotype"/>
        </w:rPr>
      </w:pPr>
      <w:r w:rsidRPr="00376BE8">
        <w:rPr>
          <w:rFonts w:ascii="Palatino Linotype" w:hAnsi="Palatino Linotype"/>
          <w:i/>
          <w:iCs/>
        </w:rPr>
        <w:t>Moringa oleifera L.</w:t>
      </w:r>
      <w:r w:rsidRPr="00376BE8">
        <w:rPr>
          <w:rFonts w:ascii="Palatino Linotype" w:hAnsi="Palatino Linotype"/>
        </w:rPr>
        <w:t xml:space="preserve"> Extraction</w:t>
      </w:r>
    </w:p>
    <w:p w14:paraId="707A3560" w14:textId="3BE78D30" w:rsidR="00481A63" w:rsidRPr="00376BE8" w:rsidRDefault="00481A63" w:rsidP="00B272FE">
      <w:pPr>
        <w:pBdr>
          <w:top w:val="nil"/>
          <w:left w:val="nil"/>
          <w:bottom w:val="nil"/>
          <w:right w:val="nil"/>
          <w:between w:val="nil"/>
          <w:bar w:val="nil"/>
        </w:pBdr>
        <w:spacing w:before="240" w:line="276" w:lineRule="auto"/>
        <w:ind w:left="720" w:right="543"/>
        <w:jc w:val="both"/>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pP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Maceration has been extensively employed over other methods because of its simplicity, cost-effectiveness, and compatibility with heat-sensitive </w:t>
      </w:r>
      <w:r w:rsidRPr="00921C80">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compounds</w:t>
      </w:r>
      <w:r w:rsidR="004B587B" w:rsidRPr="00921C80">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4B587B" w:rsidRPr="00921C80">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921C80" w:rsidRPr="00921C80">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1</w:t>
      </w:r>
      <w:r w:rsidR="006F2871">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6</w:t>
      </w:r>
      <w:r w:rsidR="004B587B" w:rsidRPr="00921C80">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921C80">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Etha</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nolic-based extraction of natural products considered effective due to its wide solubility spectrum as an uncharged solvent, it can extract a diverse range of compounds, encompassing both water-soluble hydrophilic constituents and fat-soluble lipophilic substances. Its antimicrobial activity helps minimize contamination hazards and maintain the integrity of the extracts. Ethanolic derivatives are comparatively safe and inexpensive, evaporating rapidly post-extraction to simplify concentration procedures</w:t>
      </w:r>
      <w:r w:rsidR="00D5741B"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D5741B"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930A6A">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29</w:t>
      </w:r>
      <w:r w:rsidR="00D5741B"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00FE6756"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Moringa oleifera leaf ethanolic extracts contain considerable significant concentrations of polyphenolic compounds and flavonoids, exerts potent antioxidant activity, and greater antibacterial effect against number of anaerobic bacteria that showed significant sensitivity towards the ethanolic compared to aqueous extract</w:t>
      </w:r>
      <w:r w:rsidR="00FE6756"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FE6756"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5C1F7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3</w:t>
      </w:r>
      <w:r w:rsidR="00930A6A">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0</w:t>
      </w:r>
      <w:r w:rsidR="00FE6756"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w:t>
      </w:r>
    </w:p>
    <w:p w14:paraId="6E507F90" w14:textId="547D41B3" w:rsidR="004B587B" w:rsidRPr="00376BE8" w:rsidRDefault="004B587B" w:rsidP="00CB2C4C">
      <w:pPr>
        <w:pBdr>
          <w:top w:val="nil"/>
          <w:left w:val="nil"/>
          <w:bottom w:val="nil"/>
          <w:right w:val="nil"/>
          <w:between w:val="nil"/>
          <w:bar w:val="nil"/>
        </w:pBdr>
        <w:spacing w:before="240" w:line="276" w:lineRule="auto"/>
        <w:ind w:left="720" w:right="543"/>
        <w:jc w:val="both"/>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pP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Analysis of Mo Leaves extract components</w:t>
      </w:r>
    </w:p>
    <w:p w14:paraId="2E869193" w14:textId="65EC6AAB" w:rsidR="00AC7906" w:rsidRPr="00376BE8" w:rsidRDefault="00481A63" w:rsidP="00B272FE">
      <w:pPr>
        <w:pBdr>
          <w:top w:val="nil"/>
          <w:left w:val="nil"/>
          <w:bottom w:val="nil"/>
          <w:right w:val="nil"/>
          <w:between w:val="nil"/>
          <w:bar w:val="nil"/>
        </w:pBdr>
        <w:spacing w:before="240" w:line="276" w:lineRule="auto"/>
        <w:ind w:left="720" w:right="543"/>
        <w:jc w:val="both"/>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pP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Among analytical platforms used in metabolomics, GC/MS is frequently preferred owing to its cost-efficiency, robust reproducibility, operational stability, and simplified data analysis. GC/MS considered as a crucial analytical tool for both qualitative and quantitative determination of contaminants and residues in food. It offers rapid and sensitive analysis, high peak resolution, and enables the identification of thermally stable and volatile and nonvolatile </w:t>
      </w:r>
      <w:r w:rsidRPr="003B102D">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compounds</w:t>
      </w:r>
      <w:r w:rsidR="005E01EA" w:rsidRPr="003B102D">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5E01EA" w:rsidRPr="003B102D">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6042A3">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17</w:t>
      </w:r>
      <w:r w:rsidR="005E01EA" w:rsidRPr="003B102D">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3B102D">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004F028C">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For these characteristics, </w:t>
      </w:r>
      <w:r w:rsidR="00997CAC">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GC/MS was used to </w:t>
      </w:r>
      <w:r w:rsidR="00AC7906">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explore </w:t>
      </w:r>
      <w:r w:rsidR="00AC7906"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Mo Leaves extract components</w:t>
      </w:r>
      <w:r w:rsidR="00AC7906">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p>
    <w:p w14:paraId="0BCE3F39" w14:textId="317476BE" w:rsidR="00E91C47" w:rsidRPr="00376BE8" w:rsidRDefault="00E91C47" w:rsidP="007B3AC5">
      <w:pPr>
        <w:pStyle w:val="MsoFootnoteText0"/>
        <w:spacing w:before="240" w:after="60" w:line="240" w:lineRule="atLeast"/>
        <w:ind w:right="543" w:hanging="11"/>
        <w:rPr>
          <w:rFonts w:ascii="Palatino Linotype" w:hAnsi="Palatino Linotype"/>
        </w:rPr>
      </w:pPr>
      <w:r w:rsidRPr="00B272FE">
        <w:rPr>
          <w:rFonts w:ascii="Palatino Linotype" w:hAnsi="Palatino Linotype"/>
        </w:rPr>
        <w:t>Determination of the antimicrobial sensitivity</w:t>
      </w:r>
      <w:r w:rsidR="007E164C" w:rsidRPr="00B272FE">
        <w:rPr>
          <w:rFonts w:ascii="Palatino Linotype" w:hAnsi="Palatino Linotype"/>
        </w:rPr>
        <w:t>,</w:t>
      </w:r>
      <w:r w:rsidR="007E164C" w:rsidRPr="00376BE8">
        <w:rPr>
          <w:rFonts w:ascii="Palatino Linotype" w:hAnsi="Palatino Linotype"/>
        </w:rPr>
        <w:t xml:space="preserve"> </w:t>
      </w:r>
      <w:r w:rsidR="0046439D" w:rsidRPr="00376BE8">
        <w:rPr>
          <w:rFonts w:ascii="Palatino Linotype" w:hAnsi="Palatino Linotype"/>
        </w:rPr>
        <w:t>MIC</w:t>
      </w:r>
      <w:r w:rsidR="00381845" w:rsidRPr="00376BE8">
        <w:rPr>
          <w:rFonts w:ascii="Palatino Linotype" w:hAnsi="Palatino Linotype"/>
        </w:rPr>
        <w:t xml:space="preserve"> and MBC </w:t>
      </w:r>
      <w:r w:rsidRPr="00376BE8">
        <w:rPr>
          <w:rFonts w:ascii="Palatino Linotype" w:hAnsi="Palatino Linotype"/>
        </w:rPr>
        <w:t>of Mo leave extract</w:t>
      </w:r>
      <w:r w:rsidR="00381845" w:rsidRPr="00376BE8">
        <w:rPr>
          <w:rFonts w:ascii="Palatino Linotype" w:hAnsi="Palatino Linotype"/>
        </w:rPr>
        <w:t>.</w:t>
      </w:r>
    </w:p>
    <w:p w14:paraId="62583C44" w14:textId="1732053A" w:rsidR="00070734" w:rsidRPr="00376BE8" w:rsidRDefault="00512309" w:rsidP="00B272FE">
      <w:pPr>
        <w:pBdr>
          <w:top w:val="nil"/>
          <w:left w:val="nil"/>
          <w:bottom w:val="nil"/>
          <w:right w:val="nil"/>
          <w:between w:val="nil"/>
          <w:bar w:val="nil"/>
        </w:pBdr>
        <w:spacing w:before="240" w:line="276" w:lineRule="auto"/>
        <w:ind w:left="720" w:right="543"/>
        <w:jc w:val="both"/>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pP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The bacterial sensitivity against </w:t>
      </w:r>
      <w:r w:rsidR="00C57526"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Mo and the tested antibiotics was determined using </w:t>
      </w:r>
      <w:r w:rsidR="007E164C"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disk-diffusion method</w:t>
      </w:r>
      <w:r w:rsidR="00C57526"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7E164C"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C57526"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This method </w:t>
      </w:r>
      <w:r w:rsidR="007E164C"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presents numerous advantages</w:t>
      </w:r>
      <w:r w:rsidR="00740911"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7E164C"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including simplicity, cost-effectiveness, capacity to evaluate a wide range of microorganisms and antimicrobial compounds, and the straightforward interpretation of outcomes </w:t>
      </w:r>
      <w:r w:rsidR="007E164C"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5C1F7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3</w:t>
      </w:r>
      <w:r w:rsidR="00183040">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1</w:t>
      </w:r>
      <w:r w:rsidR="007E164C"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7E164C"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0046439D"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481A63"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The MIC of the ethanolic extract of Mo leaves was determined using a macro two-fold serial dilution. According to EUCAST and CLSI, the most reliable, precise, and recommended method to determine the MIC breakpoints of any antimicrobial agent against the pathogen of interest is the broth microdilution method. The two-fold serial dilution step provides more precise MIC values compared to methods with larger dilution factors (e.g., 10-fold dilutions), allowing for a finer resolution of the effective concentration</w:t>
      </w:r>
      <w:r w:rsidR="0017344F"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5919D7"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183040">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32</w:t>
      </w:r>
      <w:r w:rsidR="005919D7"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481A63"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p>
    <w:p w14:paraId="3FEEAFFB" w14:textId="5B4424E6" w:rsidR="00EF1956" w:rsidRPr="00376BE8" w:rsidRDefault="00EF1956" w:rsidP="00B272FE">
      <w:pPr>
        <w:pBdr>
          <w:top w:val="nil"/>
          <w:left w:val="nil"/>
          <w:bottom w:val="nil"/>
          <w:right w:val="nil"/>
          <w:between w:val="nil"/>
          <w:bar w:val="nil"/>
        </w:pBdr>
        <w:tabs>
          <w:tab w:val="left" w:pos="1134"/>
        </w:tabs>
        <w:spacing w:before="240" w:line="276" w:lineRule="auto"/>
        <w:ind w:left="720" w:right="543"/>
        <w:jc w:val="both"/>
        <w:rPr>
          <w:rFonts w:ascii="Palatino Linotype" w:hAnsi="Palatino Linotype"/>
          <w:sz w:val="20"/>
          <w:szCs w:val="20"/>
        </w:rPr>
      </w:pPr>
      <w:r w:rsidRPr="00376BE8">
        <w:rPr>
          <w:rFonts w:ascii="Palatino Linotype" w:hAnsi="Palatino Linotype"/>
          <w:sz w:val="20"/>
          <w:szCs w:val="20"/>
        </w:rPr>
        <w:lastRenderedPageBreak/>
        <w:t>Comparison with Synthetic Antibiotics</w:t>
      </w:r>
    </w:p>
    <w:p w14:paraId="13CF27F5" w14:textId="2B5E9DFB" w:rsidR="00A33B32" w:rsidRPr="00A33B32" w:rsidRDefault="00A33B32" w:rsidP="00B272FE">
      <w:pPr>
        <w:pBdr>
          <w:top w:val="nil"/>
          <w:left w:val="nil"/>
          <w:bottom w:val="nil"/>
          <w:right w:val="nil"/>
          <w:between w:val="nil"/>
          <w:bar w:val="nil"/>
        </w:pBdr>
        <w:spacing w:before="240" w:after="240" w:line="276" w:lineRule="auto"/>
        <w:ind w:left="720" w:right="543"/>
        <w:jc w:val="both"/>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pP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The utilization of plant-based derivatives is a longstanding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therapeutic </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concept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that </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used to be a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common healthcare</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remedy in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many</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developing countries</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where access to contemporary healthcare is limited.</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Moreover, the documented use of these medicin</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al</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plants in treating various health conditions, specifically oral and periodontal diseases, is noteworthy</w:t>
      </w:r>
      <w:r w:rsidR="00582A5C">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582A5C" w:rsidRPr="00582A5C">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(10)</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The diverse array of anti-inflammatory, antioxidant, antibacterial and other properties associated with herbal treatment suggests their potential as an alternative that offer stability, safety, and bioactive effects in lieu of synthetic medications.</w:t>
      </w:r>
      <w:r w:rsidRPr="00376BE8">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xml:space="preserve"> </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The use of commercial antibiotics including Augmentin and Metronidazole</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over several</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decades has </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resulted in increased </w:t>
      </w:r>
      <w:r w:rsidR="00E6012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bacterial </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resistance </w:t>
      </w:r>
      <w:r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begin"/>
      </w:r>
      <w:r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&lt;EndNote&gt;&lt;Cite&gt;&lt;Author&gt;Naqid&lt;/Author&gt;&lt;Year&gt;2020&lt;/Year&gt;&lt;RecNum&gt;34&lt;/RecNum&gt;&lt;DisplayText&gt;(25)&lt;/DisplayText&gt;&lt;record&gt;&lt;rec-number&gt;34&lt;/rec-number&gt;&lt;foreign-keys&gt;&lt;key app="EN" db-id="v5s0tzapa9r2fle0x23pp52lzewrrzpzrxxs" timestamp="1703440644"&gt;34&lt;/key&gt;&lt;/foreign-keys&gt;&lt;ref-type name="Journal Article"&gt;17&lt;/ref-type&gt;&lt;contributors&gt;&lt;authors&gt;&lt;author&gt;Naqid, Ibrahim Abdulqader&lt;/author&gt;&lt;author&gt;Balatay, Amer A&lt;/author&gt;&lt;author&gt;Hussein, Nawfal Rasheed&lt;/author&gt;&lt;author&gt;Ahmed, Hiba Abdulaziz&lt;/author&gt;&lt;author&gt;Saeed, Kurdistan Abdullah&lt;/author&gt;&lt;author&gt;Abdi, Sanya Ali&lt;/author&gt;&lt;/authors&gt;&lt;/contributors&gt;&lt;titles&gt;&lt;title&gt;Bacterial strains and antimicrobial susceptibility patterns in male urinary tract infections in Duhok province, Iraq&lt;/title&gt;&lt;secondary-title&gt;Middle East Journal of Rehabilitation and Health Studies&lt;/secondary-title&gt;&lt;/titles&gt;&lt;periodical&gt;&lt;full-title&gt;Middle East Journal of Rehabilitation and Health Studies&lt;/full-title&gt;&lt;/periodical&gt;&lt;volume&gt;7&lt;/volume&gt;&lt;number&gt;3&lt;/number&gt;&lt;dates&gt;&lt;year&gt;2020&lt;/year&gt;&lt;/dates&gt;&lt;isbn&gt;2423-4451&lt;/isbn&gt;&lt;urls&gt;&lt;/urls&gt;&lt;/record&gt;&lt;/Cite&gt;&lt;/EndNote&gt;</w:instrText>
      </w:r>
      <w:r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separate"/>
      </w:r>
      <w:r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D80E6C">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33</w:t>
      </w:r>
      <w:r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376BE8">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fldChar w:fldCharType="end"/>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Augmentin and Metronidazole are commonly used </w:t>
      </w:r>
      <w:r w:rsidR="00185EC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as adjunctive</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treatment of periodontal diseases</w:t>
      </w:r>
      <w:r w:rsidR="00185EC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in </w:t>
      </w:r>
      <w:r w:rsidR="00457BB4"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specific</w:t>
      </w:r>
      <w:r w:rsidR="00185EC8"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clinical categories such as generalized periodontitis Stage III in young adults </w:t>
      </w:r>
      <w:r w:rsidR="00185EC8"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FD368A">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4</w:t>
      </w:r>
      <w:r w:rsidR="00185EC8" w:rsidRPr="00376BE8">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376BE8">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Due to the side effects and emerging of bacterial</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resistance towards antibiotics, it would be helpful to use alternative herbal medicinal approach to treat periodontal disease. While numerous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in vitro</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and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in vivo</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studies have explored the application of Mo extracts against both primary and secondary colonizers, scarcity of data concerning the antibacterial influences of these plant extracts</w:t>
      </w:r>
      <w:r w:rsidR="003C7D73">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in </w:t>
      </w:r>
      <w:r w:rsidR="00E95E84"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particular</w:t>
      </w:r>
      <w:r w:rsidR="003C7D73">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against anaerobic </w:t>
      </w:r>
      <w:r w:rsidR="003C7D73">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bacteria</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including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P. gingivalis</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is established. Therefore, the objective of this research was to evaluate the antibacterial effects of Mo ethanolic leaves compared to Augmentin and Metronidazole against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P.</w:t>
      </w:r>
      <w:r w:rsidR="004B5F2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 xml:space="preserve">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gingivalis</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00B30BDB">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009031B6">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T</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here were no reported sensitivity reactions of Augmentin and Metronidazole against all clinically isolated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 xml:space="preserve">P. gingivalis </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strains which </w:t>
      </w:r>
      <w:r w:rsidR="007117D3">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was </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agreed with </w:t>
      </w:r>
      <w:r w:rsidR="00025A85">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the </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previous </w:t>
      </w:r>
      <w:r w:rsidRPr="00A04369">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findings</w:t>
      </w:r>
      <w:r w:rsidR="00E92474" w:rsidRPr="00A04369">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Pr="00A04369">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begin"/>
      </w:r>
      <w:r w:rsidRPr="00A04369">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&lt;EndNote&gt;&lt;Cite&gt;&lt;Author&gt;Al-Deen&lt;/Author&gt;&lt;Year&gt;2021&lt;/Year&gt;&lt;RecNum&gt;37&lt;/RecNum&gt;&lt;DisplayText&gt;(26)&lt;/DisplayText&gt;&lt;record&gt;&lt;rec-number&gt;37&lt;/rec-number&gt;&lt;foreign-keys&gt;&lt;key app="EN" db-id="v5s0tzapa9r2fle0x23pp52lzewrrzpzrxxs" timestamp="1703450633"&gt;37&lt;/key&gt;&lt;/foreign-keys&gt;&lt;ref-type name="Journal Article"&gt;17&lt;/ref-type&gt;&lt;contributors&gt;&lt;authors&gt;&lt;author&gt;Al-Deen, Husian Shogaa&lt;/author&gt;&lt;author&gt;Al-Ankoshy, Azhar Azher Mohammed&lt;/author&gt;&lt;author&gt;Al-Najhi, MMA&lt;/author&gt;&lt;author&gt;Al-Kabsia, TA&lt;/author&gt;&lt;author&gt;AL-Haddad, Khaled A&lt;/author&gt;&lt;author&gt;Al-Akwa, Ameen Abdullah Yahya&lt;/author&gt;&lt;author&gt;Al-Shamahy, Hassan Abdulwahab&lt;/author&gt;&lt;author&gt;Al-labani, Mohammed A&lt;/author&gt;&lt;/authors&gt;&lt;/contributors&gt;&lt;titles&gt;&lt;title&gt;Porphyromonas gingivalis: Biofilm formation, antimicrobial susceptibility of isolates from cases of Localized Aggressive Periodontitis (LAP)&lt;/title&gt;&lt;secondary-title&gt;Universal J Pharmaceutical Res&lt;/secondary-title&gt;&lt;/titles&gt;&lt;periodical&gt;&lt;full-title&gt;Universal J Pharmaceutical Res&lt;/full-title&gt;&lt;/periodical&gt;&lt;pages&gt;1-7&lt;/pages&gt;&lt;volume&gt;6&lt;/volume&gt;&lt;number&gt;4&lt;/number&gt;&lt;dates&gt;&lt;year&gt;2021&lt;/year&gt;&lt;/dates&gt;&lt;urls&gt;&lt;/urls&gt;&lt;/record&gt;&lt;/Cite&gt;&lt;/EndNote&gt;</w:instrText>
      </w:r>
      <w:r w:rsidRPr="00A04369">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separate"/>
      </w:r>
      <w:r w:rsidRPr="00A04369">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0A34F7">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34</w:t>
      </w:r>
      <w:r w:rsidRPr="00A04369">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A04369">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fldChar w:fldCharType="end"/>
      </w:r>
      <w:r w:rsidRPr="00A04369">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In this context, it is crucial to highlight that recent findings indicate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P. gingivalis</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has the capability to transfer plasmid DNA, chromosomal DNA, or a combination of both. This capability could potentially serve as a functional system for the transfer of resistance determinants as well</w:t>
      </w:r>
      <w:r w:rsidR="00E92474">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begin"/>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&lt;EndNote&gt;&lt;Cite&gt;&lt;Author&gt;Tribble&lt;/Author&gt;&lt;Year&gt;2007&lt;/Year&gt;&lt;RecNum&gt;36&lt;/RecNum&gt;&lt;DisplayText&gt;(28)&lt;/DisplayText&gt;&lt;record&gt;&lt;rec-number&gt;36&lt;/rec-number&gt;&lt;foreign-keys&gt;&lt;key app="EN" db-id="v5s0tzapa9r2fle0x23pp52lzewrrzpzrxxs" timestamp="1703446149"&gt;36&lt;/key&gt;&lt;/foreign-keys&gt;&lt;ref-type name="Journal Article"&gt;17&lt;/ref-type&gt;&lt;contributors&gt;&lt;authors&gt;&lt;author&gt;Tribble, Gena D&lt;/author&gt;&lt;author&gt;Lamont, Gwyneth J&lt;/author&gt;&lt;author&gt;Progulske-Fox, Ann&lt;/author&gt;&lt;author&gt;Lamont, Richard J&lt;/author&gt;&lt;/authors&gt;&lt;/contributors&gt;&lt;titles&gt;&lt;title&gt;Conjugal transfer of chromosomal DNA contributes to genetic variation in the oral pathogen Porphyromonas gingivalis&lt;/title&gt;&lt;secondary-title&gt;Journal of bacteriology&lt;/secondary-title&gt;&lt;/titles&gt;&lt;periodical&gt;&lt;full-title&gt;Journal of bacteriology&lt;/full-title&gt;&lt;/periodical&gt;&lt;pages&gt;6382-6388&lt;/pages&gt;&lt;volume&gt;189&lt;/volume&gt;&lt;number&gt;17&lt;/number&gt;&lt;dates&gt;&lt;year&gt;2007&lt;/year&gt;&lt;/dates&gt;&lt;isbn&gt;0021-9193&lt;/isbn&gt;&lt;urls&gt;&lt;/urls&gt;&lt;/record&gt;&lt;/Cite&gt;&lt;/EndNote&gt;</w:instrTex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separate"/>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0A34F7">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3</w:t>
      </w:r>
      <w:r w:rsidR="004962C6">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5)</w:t>
      </w:r>
      <w:r w:rsidRPr="00A33B32">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fldChar w:fldCharType="end"/>
      </w:r>
      <w:r w:rsidR="003A38F7" w:rsidRPr="003A38F7">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w:t>
      </w:r>
      <w:r w:rsidRPr="00A33B32">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xml:space="preserve"> </w:t>
      </w:r>
    </w:p>
    <w:p w14:paraId="44061E27" w14:textId="3749019C" w:rsidR="00EF1956" w:rsidRPr="00EF1956" w:rsidRDefault="00EF1956" w:rsidP="00B272FE">
      <w:pPr>
        <w:pBdr>
          <w:top w:val="nil"/>
          <w:left w:val="nil"/>
          <w:bottom w:val="nil"/>
          <w:right w:val="nil"/>
          <w:between w:val="nil"/>
          <w:bar w:val="nil"/>
        </w:pBdr>
        <w:tabs>
          <w:tab w:val="left" w:pos="1134"/>
        </w:tabs>
        <w:spacing w:before="240" w:after="60" w:line="276" w:lineRule="auto"/>
        <w:ind w:left="720" w:right="543"/>
        <w:jc w:val="both"/>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pPr>
      <w:r w:rsidRPr="00EF1956">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Role of Phytochemicals</w:t>
      </w:r>
    </w:p>
    <w:p w14:paraId="5E0E1295" w14:textId="2F4F8958" w:rsidR="00EF1956" w:rsidRDefault="00A33B32" w:rsidP="00B272FE">
      <w:pPr>
        <w:pBdr>
          <w:top w:val="nil"/>
          <w:left w:val="nil"/>
          <w:bottom w:val="nil"/>
          <w:right w:val="nil"/>
          <w:between w:val="nil"/>
          <w:bar w:val="nil"/>
        </w:pBdr>
        <w:spacing w:line="276" w:lineRule="auto"/>
        <w:ind w:left="720" w:right="543"/>
        <w:jc w:val="both"/>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pP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MIC values of Mo ethanolic leaves extracts against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P. gingivalis</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were determined through optical density (OD) measurements using serial macro dilutions. In the current study, it was observed that ethanolic Mo leaves extract exhibited antibacterial effects at an MIC of 0.78 mg/ml and MBC at 1.55 mg/ml. Moreover, Mo leaves have demonstrated increased components of Trans-11-octadecenoic acid, Oleic Acid (18.15), and 1H,3H-Quinoline-2,5-dione, 1-4-fluorophenyl (16.28%) as showed in Table </w:t>
      </w:r>
      <w:r w:rsidR="00CC1BC9">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1</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Each of these components has been shown to exert anti-bacterial effects against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P. gingivalis</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in vitro</w:t>
      </w:r>
      <w:r w:rsidR="00E92474">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begin">
          <w:fldData xml:space="preserve">PEVuZE5vdGU+PENpdGU+PEF1dGhvcj5TaGFwaXJvPC9BdXRob3I+PFllYXI+MTk5NjwvWWVhcj48
UmVjTnVtPjQ1PC9SZWNOdW0+PERpc3BsYXlUZXh0PigyOS0zMSk8L0Rpc3BsYXlUZXh0PjxyZWNv
cmQ+PHJlYy1udW1iZXI+NDU8L3JlYy1udW1iZXI+PGZvcmVpZ24ta2V5cz48a2V5IGFwcD0iRU4i
IGRiLWlkPSJ6c3pydmVleGpzZjAybmVkZHRteGRhYWJ0cGRydzJ4cDV6d3AiIHRpbWVzdGFtcD0i
MTYzNjcyNTA5OSI+NDU8L2tleT48L2ZvcmVpZ24ta2V5cz48cmVmLXR5cGUgbmFtZT0iSm91cm5h
bCBBcnRpY2xlIj4xNzwvcmVmLXR5cGU+PGNvbnRyaWJ1dG9ycz48YXV0aG9ycz48YXV0aG9yPlNo
YXBpcm8sIFMuPC9hdXRob3I+PC9hdXRob3JzPjwvY29udHJpYnV0b3JzPjx0aXRsZXM+PHRpdGxl
PlRoZSBpbmhpYml0b3J5IGFjdGlvbiBvZiBmYXR0eSBhY2lkcyBvbiBvcmFsIGJhY3RlcmlhPC90
aXRsZT48c2Vjb25kYXJ5LXRpdGxlPk9yYWwgTWljcm9iaW9sb2d5IGFuZCBJbW11bm9sb2d5PC9z
ZWNvbmRhcnktdGl0bGU+PC90aXRsZXM+PHBlcmlvZGljYWw+PGZ1bGwtdGl0bGU+T3JhbCBNaWNy
b2Jpb2xvZ3kgYW5kIEltbXVub2xvZ3k8L2Z1bGwtdGl0bGU+PC9wZXJpb2RpY2FsPjxwYWdlcz4z
NTAtMzU1PC9wYWdlcz48dm9sdW1lPjExPC92b2x1bWU+PG51bWJlcj41PC9udW1iZXI+PGtleXdv
cmRzPjxrZXl3b3JkPmFtaW5vIGFjaWQgdXB0YWtlPC9rZXl3b3JkPjxrZXl3b3JkPmZhdHR5IGFj
aWQ8L2tleXdvcmQ+PGtleXdvcmQ+ZmF0dHkgYWNpZCBlc3Rlcjwva2V5d29yZD48a2V5d29yZD5t
aW5pbWFsIGJhY3RlcmljaWRhbCBjb25jZW50cmF0aW9uPC9rZXl3b3JkPjxrZXl3b3JkPm1pbmlt
YWwgaW5oaWJpdG9yeSBjb25jZW50cmF0aW9uPC9rZXl3b3JkPjxrZXl3b3JkPm9yYWwgYW5hZXJv
YmU8L2tleXdvcmQ+PGtleXdvcmQ+c3RydWN0dXJlLWFjdGl2aXR5IHJlbGF0aW9uc2hpcDwva2V5
d29yZD48L2tleXdvcmRzPjxkYXRlcz48eWVhcj4xOTk2PC95ZWFyPjxwdWItZGF0ZXM+PGRhdGU+
MTk5Ni8xMC8wMTwvZGF0ZT48L3B1Yi1kYXRlcz48L2RhdGVzPjxwdWJsaXNoZXI+Sm9obiBXaWxl
eSAmYW1wOyBTb25zLCBMdGQ8L3B1Ymxpc2hlcj48aXNibj4wOTAyLTAwNTU8L2lzYm4+PHdvcmst
dHlwZT5odHRwczovL2RvaS5vcmcvMTAuMTExMS9qLjEzOTktMzAyWC4xOTk2LnRiMDAxOTMueDwv
d29yay10eXBlPjx1cmxzPjxyZWxhdGVkLXVybHM+PHVybD5odHRwczovL2RvaS5vcmcvMTAuMTEx
MS9qLjEzOTktMzAyWC4xOTk2LnRiMDAxOTMueDwvdXJsPjwvcmVsYXRlZC11cmxzPjwvdXJscz48
ZWxlY3Ryb25pYy1yZXNvdXJjZS1udW0+aHR0cHM6Ly9kb2kub3JnLzEwLjExMTEvai4xMzk5LTMw
MlguMTk5Ni50YjAwMTkzLng8L2VsZWN0cm9uaWMtcmVzb3VyY2UtbnVtPjxhY2Nlc3MtZGF0ZT4y
MDIxLzExLzEyPC9hY2Nlc3MtZGF0ZT48L3JlY29yZD48L0NpdGU+PENpdGU+PEF1dGhvcj5TdWxp
amF5YTwvQXV0aG9yPjxZZWFyPjIwMTk8L1llYXI+PFJlY051bT40NjwvUmVjTnVtPjxyZWNvcmQ+
PHJlYy1udW1iZXI+NDY8L3JlYy1udW1iZXI+PGZvcmVpZ24ta2V5cz48a2V5IGFwcD0iRU4iIGRi
LWlkPSJ6c3pydmVleGpzZjAybmVkZHRteGRhYWJ0cGRydzJ4cDV6d3AiIHRpbWVzdGFtcD0iMTYz
NjcyNTEzMSI+NDY8L2tleT48L2ZvcmVpZ24ta2V5cz48cmVmLXR5cGUgbmFtZT0iSm91cm5hbCBB
cnRpY2xlIj4xNzwvcmVmLXR5cGU+PGNvbnRyaWJ1dG9ycz48YXV0aG9ycz48YXV0aG9yPlN1bGlq
YXlhLCBCZW5zbzwvYXV0aG9yPjxhdXRob3I+WWFtYWRhLUhhcmEsIE1pa2k8L2F1dGhvcj48YXV0
aG9yPllva29qaS1UYWtldWNoaSwgTWFpPC9hdXRob3I+PGF1dGhvcj5NYXRzdWRhLU1hdHN1a2F3
YSwgWXVtaTwvYXV0aG9yPjxhdXRob3I+WWFtYXpha2ksIEt5b2tvPC9hdXRob3I+PGF1dGhvcj5N
YXRzdWdpc2hpLCBBb2k8L2F1dGhvcj48YXV0aG9yPlRzdXp1bm8sIFRha2FoaXJvPC9hdXRob3I+
PGF1dGhvcj5TYXRvLCBLZWlzdWtlPC9hdXRob3I+PGF1dGhvcj5Bb2tpLU5vbmFrYSwgWXVrYXJp
PC9hdXRob3I+PGF1dGhvcj5UYWthaGFzaGksIE5hb2tpPC9hdXRob3I+PGF1dGhvcj5LaXNoaW5v
LCBTaGlnZW5vYnU8L2F1dGhvcj48YXV0aG9yPk9nYXdhLCBKdW48L2F1dGhvcj48YXV0aG9yPlRh
YmV0YSwgS29pY2hpPC9hdXRob3I+PGF1dGhvcj5ZYW1hemFraSwgS2F6dWhpc2E8L2F1dGhvcj48
L2F1dGhvcnM+PC9jb250cmlidXRvcnM+PHRpdGxlcz48dGl0bGU+QW50aW1pY3JvYmlhbCBmdW5j
dGlvbiBvZiB0aGUgcG9seXVuc2F0dXJhdGVkIGZhdHR5IGFjaWQgS2V0b0MgaW4gYW4gZXhwZXJp
bWVudGFsIG1vZGVsIG9mIHBlcmlvZG9udGl0aXM8L3RpdGxlPjxzZWNvbmRhcnktdGl0bGU+Sm91
cm5hbCBvZiBQZXJpb2RvbnRvbG9neTwvc2Vjb25kYXJ5LXRpdGxlPjwvdGl0bGVzPjxwZXJpb2Rp
Y2FsPjxmdWxsLXRpdGxlPkpvdXJuYWwgb2YgcGVyaW9kb250b2xvZ3k8L2Z1bGwtdGl0bGU+PC9w
ZXJpb2RpY2FsPjxwYWdlcz4xNDcwLTE0ODA8L3BhZ2VzPjx2b2x1bWU+OTA8L3ZvbHVtZT48bnVt
YmVyPjEyPC9udW1iZXI+PGtleXdvcmRzPjxrZXl3b3JkPmFudGltaWNyb2JpYWw8L2tleXdvcmQ+
PGtleXdvcmQ+ZmF0dHkgYWNpZDwva2V5d29yZD48a2V5d29yZD5wZXJpb2RvbnRpdGlzPC9rZXl3
b3JkPjxrZXl3b3JkPlBvcnBoeXJvbW9uYXMgZ2luZ2l2YWxpczwva2V5d29yZD48L2tleXdvcmRz
PjxkYXRlcz48eWVhcj4yMDE5PC95ZWFyPjxwdWItZGF0ZXM+PGRhdGU+MjAxOS8xMi8wMTwvZGF0
ZT48L3B1Yi1kYXRlcz48L2RhdGVzPjxwdWJsaXNoZXI+Sm9obiBXaWxleSAmYW1wOyBTb25zLCBM
dGQ8L3B1Ymxpc2hlcj48aXNibj4wMDIyLTM0OTI8L2lzYm4+PHdvcmstdHlwZT5odHRwczovL2Rv
aS5vcmcvMTAuMTAwMi9KUEVSLjE5LTAxMzA8L3dvcmstdHlwZT48dXJscz48cmVsYXRlZC11cmxz
Pjx1cmw+aHR0cHM6Ly9kb2kub3JnLzEwLjEwMDIvSlBFUi4xOS0wMTMwPC91cmw+PC9yZWxhdGVk
LXVybHM+PC91cmxzPjxlbGVjdHJvbmljLXJlc291cmNlLW51bT5odHRwczovL2RvaS5vcmcvMTAu
MTAwMi9KUEVSLjE5LTAxMzA8L2VsZWN0cm9uaWMtcmVzb3VyY2UtbnVtPjxhY2Nlc3MtZGF0ZT4y
MDIxLzExLzEyPC9hY2Nlc3MtZGF0ZT48L3JlY29yZD48L0NpdGU+PENpdGU+PEF1dGhvcj5BdHRh
bGxhaDwvQXV0aG9yPjxZZWFyPjIwMjE8L1llYXI+PFJlY051bT40NzwvUmVjTnVtPjxyZWNvcmQ+
PHJlYy1udW1iZXI+NDc8L3JlYy1udW1iZXI+PGZvcmVpZ24ta2V5cz48a2V5IGFwcD0iRU4iIGRi
LWlkPSJ6c3pydmVleGpzZjAybmVkZHRteGRhYWJ0cGRydzJ4cDV6d3AiIHRpbWVzdGFtcD0iMTYz
NjcyNTE3MSI+NDc8L2tleT48L2ZvcmVpZ24ta2V5cz48cmVmLXR5cGUgbmFtZT0iSm91cm5hbCBB
cnRpY2xlIj4xNzwvcmVmLXR5cGU+PGNvbnRyaWJ1dG9ycz48YXV0aG9ycz48YXV0aG9yPkF0dGFs
bGFoLCBOYXNod2FoIEcuIE0uPC9hdXRob3I+PGF1dGhvcj5OZWdtLCBXYWxhYSBBLjwvYXV0aG9y
PjxhdXRob3I+RWxla2huYXd5LCBFbmd5PC9hdXRob3I+PGF1dGhvcj5BbHR3YWlqcnksIE5hamxh
PC9hdXRob3I+PGF1dGhvcj5FbG1vbmd5LCBFbHNoYXltYWEgSS48L2F1dGhvcj48YXV0aG9yPkVs
LU1hc3J5LCBUaGFuYWEgQS48L2F1dGhvcj48YXV0aG9yPkFsdHVya2ksIEVtYW4gQS48L2F1dGhv
cj48YXV0aG9yPllvdXNlZiwgRG9hYSBBLjwvYXV0aG9yPjxhdXRob3I+WS4gU2hvdWtoZWJhLCBN
YWxhazwvYXV0aG9yPjwvYXV0aG9ycz48L2NvbnRyaWJ1dG9ycz48dGl0bGVzPjx0aXRsZT5BbnRp
YmFjdGVyaWFsIEFjdGl2aXR5IG9mIEJvc3dlbGxpYSBzYWNyYSBGbHVlY2suIE9sZW9yZXNpbiBF
eHRyYWN0IGFnYWluc3QgUG9ycGh5cm9tb25hcyBnaW5naXZhbGlzIFBlcmlvZG9udGFsIFBhdGhv
Z2VuPC90aXRsZT48c2Vjb25kYXJ5LXRpdGxlPkFudGliaW90aWNzPC9zZWNvbmRhcnktdGl0bGU+
PC90aXRsZXM+PHBlcmlvZGljYWw+PGZ1bGwtdGl0bGU+QW50aWJpb3RpY3M8L2Z1bGwtdGl0bGU+
PC9wZXJpb2RpY2FsPjx2b2x1bWU+MTA8L3ZvbHVtZT48bnVtYmVyPjc8L251bWJlcj48a2V5d29y
ZHM+PGtleXdvcmQ+YmlvZmlsbTwva2V5d29yZD48a2V5d29yZD5jaHJvbmljIHBlcmlvZG9udGl0
aXM8L2tleXdvcmQ+PGtleXdvcmQ+ZXh0cmFjZWxsdWxhciBwb2x5c2FjY2hhcmlkZXM8L2tleXdv
cmQ+PGtleXdvcmQ+R0MtTVM8L2tleXdvcmQ+PGtleXdvcmQ+cVJULVBDUjwva2V5d29yZD48a2V5
d29yZD5zY2FubmluZyBlbGVjdHJvbiBtaWNyb3Njb3BlPC9rZXl3b3JkPjwva2V5d29yZHM+PGRh
dGVzPjx5ZWFyPjIwMjE8L3llYXI+PC9kYXRlcz48aXNibj4yMDc5LTYzODI8L2lzYm4+PHVybHM+
PC91cmxzPjxlbGVjdHJvbmljLXJlc291cmNlLW51bT4xMC4zMzkwL2FudGliaW90aWNzMTAwNzA4
NTk8L2VsZWN0cm9uaWMtcmVzb3VyY2UtbnVtPjwvcmVjb3JkPjwvQ2l0ZT48L0VuZE5vdGU+
</w:fldData>
        </w:fldChar>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instrText xml:space="preserve"> ADDIN EN.CITE </w:instrTex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begin">
          <w:fldData xml:space="preserve">PEVuZE5vdGU+PENpdGU+PEF1dGhvcj5TaGFwaXJvPC9BdXRob3I+PFllYXI+MTk5NjwvWWVhcj48
UmVjTnVtPjQ1PC9SZWNOdW0+PERpc3BsYXlUZXh0PigyOS0zMSk8L0Rpc3BsYXlUZXh0PjxyZWNv
cmQ+PHJlYy1udW1iZXI+NDU8L3JlYy1udW1iZXI+PGZvcmVpZ24ta2V5cz48a2V5IGFwcD0iRU4i
IGRiLWlkPSJ6c3pydmVleGpzZjAybmVkZHRteGRhYWJ0cGRydzJ4cDV6d3AiIHRpbWVzdGFtcD0i
MTYzNjcyNTA5OSI+NDU8L2tleT48L2ZvcmVpZ24ta2V5cz48cmVmLXR5cGUgbmFtZT0iSm91cm5h
bCBBcnRpY2xlIj4xNzwvcmVmLXR5cGU+PGNvbnRyaWJ1dG9ycz48YXV0aG9ycz48YXV0aG9yPlNo
YXBpcm8sIFMuPC9hdXRob3I+PC9hdXRob3JzPjwvY29udHJpYnV0b3JzPjx0aXRsZXM+PHRpdGxl
PlRoZSBpbmhpYml0b3J5IGFjdGlvbiBvZiBmYXR0eSBhY2lkcyBvbiBvcmFsIGJhY3RlcmlhPC90
aXRsZT48c2Vjb25kYXJ5LXRpdGxlPk9yYWwgTWljcm9iaW9sb2d5IGFuZCBJbW11bm9sb2d5PC9z
ZWNvbmRhcnktdGl0bGU+PC90aXRsZXM+PHBlcmlvZGljYWw+PGZ1bGwtdGl0bGU+T3JhbCBNaWNy
b2Jpb2xvZ3kgYW5kIEltbXVub2xvZ3k8L2Z1bGwtdGl0bGU+PC9wZXJpb2RpY2FsPjxwYWdlcz4z
NTAtMzU1PC9wYWdlcz48dm9sdW1lPjExPC92b2x1bWU+PG51bWJlcj41PC9udW1iZXI+PGtleXdv
cmRzPjxrZXl3b3JkPmFtaW5vIGFjaWQgdXB0YWtlPC9rZXl3b3JkPjxrZXl3b3JkPmZhdHR5IGFj
aWQ8L2tleXdvcmQ+PGtleXdvcmQ+ZmF0dHkgYWNpZCBlc3Rlcjwva2V5d29yZD48a2V5d29yZD5t
aW5pbWFsIGJhY3RlcmljaWRhbCBjb25jZW50cmF0aW9uPC9rZXl3b3JkPjxrZXl3b3JkPm1pbmlt
YWwgaW5oaWJpdG9yeSBjb25jZW50cmF0aW9uPC9rZXl3b3JkPjxrZXl3b3JkPm9yYWwgYW5hZXJv
YmU8L2tleXdvcmQ+PGtleXdvcmQ+c3RydWN0dXJlLWFjdGl2aXR5IHJlbGF0aW9uc2hpcDwva2V5
d29yZD48L2tleXdvcmRzPjxkYXRlcz48eWVhcj4xOTk2PC95ZWFyPjxwdWItZGF0ZXM+PGRhdGU+
MTk5Ni8xMC8wMTwvZGF0ZT48L3B1Yi1kYXRlcz48L2RhdGVzPjxwdWJsaXNoZXI+Sm9obiBXaWxl
eSAmYW1wOyBTb25zLCBMdGQ8L3B1Ymxpc2hlcj48aXNibj4wOTAyLTAwNTU8L2lzYm4+PHdvcmst
dHlwZT5odHRwczovL2RvaS5vcmcvMTAuMTExMS9qLjEzOTktMzAyWC4xOTk2LnRiMDAxOTMueDwv
d29yay10eXBlPjx1cmxzPjxyZWxhdGVkLXVybHM+PHVybD5odHRwczovL2RvaS5vcmcvMTAuMTEx
MS9qLjEzOTktMzAyWC4xOTk2LnRiMDAxOTMueDwvdXJsPjwvcmVsYXRlZC11cmxzPjwvdXJscz48
ZWxlY3Ryb25pYy1yZXNvdXJjZS1udW0+aHR0cHM6Ly9kb2kub3JnLzEwLjExMTEvai4xMzk5LTMw
MlguMTk5Ni50YjAwMTkzLng8L2VsZWN0cm9uaWMtcmVzb3VyY2UtbnVtPjxhY2Nlc3MtZGF0ZT4y
MDIxLzExLzEyPC9hY2Nlc3MtZGF0ZT48L3JlY29yZD48L0NpdGU+PENpdGU+PEF1dGhvcj5TdWxp
amF5YTwvQXV0aG9yPjxZZWFyPjIwMTk8L1llYXI+PFJlY051bT40NjwvUmVjTnVtPjxyZWNvcmQ+
PHJlYy1udW1iZXI+NDY8L3JlYy1udW1iZXI+PGZvcmVpZ24ta2V5cz48a2V5IGFwcD0iRU4iIGRi
LWlkPSJ6c3pydmVleGpzZjAybmVkZHRteGRhYWJ0cGRydzJ4cDV6d3AiIHRpbWVzdGFtcD0iMTYz
NjcyNTEzMSI+NDY8L2tleT48L2ZvcmVpZ24ta2V5cz48cmVmLXR5cGUgbmFtZT0iSm91cm5hbCBB
cnRpY2xlIj4xNzwvcmVmLXR5cGU+PGNvbnRyaWJ1dG9ycz48YXV0aG9ycz48YXV0aG9yPlN1bGlq
YXlhLCBCZW5zbzwvYXV0aG9yPjxhdXRob3I+WWFtYWRhLUhhcmEsIE1pa2k8L2F1dGhvcj48YXV0
aG9yPllva29qaS1UYWtldWNoaSwgTWFpPC9hdXRob3I+PGF1dGhvcj5NYXRzdWRhLU1hdHN1a2F3
YSwgWXVtaTwvYXV0aG9yPjxhdXRob3I+WWFtYXpha2ksIEt5b2tvPC9hdXRob3I+PGF1dGhvcj5N
YXRzdWdpc2hpLCBBb2k8L2F1dGhvcj48YXV0aG9yPlRzdXp1bm8sIFRha2FoaXJvPC9hdXRob3I+
PGF1dGhvcj5TYXRvLCBLZWlzdWtlPC9hdXRob3I+PGF1dGhvcj5Bb2tpLU5vbmFrYSwgWXVrYXJp
PC9hdXRob3I+PGF1dGhvcj5UYWthaGFzaGksIE5hb2tpPC9hdXRob3I+PGF1dGhvcj5LaXNoaW5v
LCBTaGlnZW5vYnU8L2F1dGhvcj48YXV0aG9yPk9nYXdhLCBKdW48L2F1dGhvcj48YXV0aG9yPlRh
YmV0YSwgS29pY2hpPC9hdXRob3I+PGF1dGhvcj5ZYW1hemFraSwgS2F6dWhpc2E8L2F1dGhvcj48
L2F1dGhvcnM+PC9jb250cmlidXRvcnM+PHRpdGxlcz48dGl0bGU+QW50aW1pY3JvYmlhbCBmdW5j
dGlvbiBvZiB0aGUgcG9seXVuc2F0dXJhdGVkIGZhdHR5IGFjaWQgS2V0b0MgaW4gYW4gZXhwZXJp
bWVudGFsIG1vZGVsIG9mIHBlcmlvZG9udGl0aXM8L3RpdGxlPjxzZWNvbmRhcnktdGl0bGU+Sm91
cm5hbCBvZiBQZXJpb2RvbnRvbG9neTwvc2Vjb25kYXJ5LXRpdGxlPjwvdGl0bGVzPjxwZXJpb2Rp
Y2FsPjxmdWxsLXRpdGxlPkpvdXJuYWwgb2YgcGVyaW9kb250b2xvZ3k8L2Z1bGwtdGl0bGU+PC9w
ZXJpb2RpY2FsPjxwYWdlcz4xNDcwLTE0ODA8L3BhZ2VzPjx2b2x1bWU+OTA8L3ZvbHVtZT48bnVt
YmVyPjEyPC9udW1iZXI+PGtleXdvcmRzPjxrZXl3b3JkPmFudGltaWNyb2JpYWw8L2tleXdvcmQ+
PGtleXdvcmQ+ZmF0dHkgYWNpZDwva2V5d29yZD48a2V5d29yZD5wZXJpb2RvbnRpdGlzPC9rZXl3
b3JkPjxrZXl3b3JkPlBvcnBoeXJvbW9uYXMgZ2luZ2l2YWxpczwva2V5d29yZD48L2tleXdvcmRz
PjxkYXRlcz48eWVhcj4yMDE5PC95ZWFyPjxwdWItZGF0ZXM+PGRhdGU+MjAxOS8xMi8wMTwvZGF0
ZT48L3B1Yi1kYXRlcz48L2RhdGVzPjxwdWJsaXNoZXI+Sm9obiBXaWxleSAmYW1wOyBTb25zLCBM
dGQ8L3B1Ymxpc2hlcj48aXNibj4wMDIyLTM0OTI8L2lzYm4+PHdvcmstdHlwZT5odHRwczovL2Rv
aS5vcmcvMTAuMTAwMi9KUEVSLjE5LTAxMzA8L3dvcmstdHlwZT48dXJscz48cmVsYXRlZC11cmxz
Pjx1cmw+aHR0cHM6Ly9kb2kub3JnLzEwLjEwMDIvSlBFUi4xOS0wMTMwPC91cmw+PC9yZWxhdGVk
LXVybHM+PC91cmxzPjxlbGVjdHJvbmljLXJlc291cmNlLW51bT5odHRwczovL2RvaS5vcmcvMTAu
MTAwMi9KUEVSLjE5LTAxMzA8L2VsZWN0cm9uaWMtcmVzb3VyY2UtbnVtPjxhY2Nlc3MtZGF0ZT4y
MDIxLzExLzEyPC9hY2Nlc3MtZGF0ZT48L3JlY29yZD48L0NpdGU+PENpdGU+PEF1dGhvcj5BdHRh
bGxhaDwvQXV0aG9yPjxZZWFyPjIwMjE8L1llYXI+PFJlY051bT40NzwvUmVjTnVtPjxyZWNvcmQ+
PHJlYy1udW1iZXI+NDc8L3JlYy1udW1iZXI+PGZvcmVpZ24ta2V5cz48a2V5IGFwcD0iRU4iIGRi
LWlkPSJ6c3pydmVleGpzZjAybmVkZHRteGRhYWJ0cGRydzJ4cDV6d3AiIHRpbWVzdGFtcD0iMTYz
NjcyNTE3MSI+NDc8L2tleT48L2ZvcmVpZ24ta2V5cz48cmVmLXR5cGUgbmFtZT0iSm91cm5hbCBB
cnRpY2xlIj4xNzwvcmVmLXR5cGU+PGNvbnRyaWJ1dG9ycz48YXV0aG9ycz48YXV0aG9yPkF0dGFs
bGFoLCBOYXNod2FoIEcuIE0uPC9hdXRob3I+PGF1dGhvcj5OZWdtLCBXYWxhYSBBLjwvYXV0aG9y
PjxhdXRob3I+RWxla2huYXd5LCBFbmd5PC9hdXRob3I+PGF1dGhvcj5BbHR3YWlqcnksIE5hamxh
PC9hdXRob3I+PGF1dGhvcj5FbG1vbmd5LCBFbHNoYXltYWEgSS48L2F1dGhvcj48YXV0aG9yPkVs
LU1hc3J5LCBUaGFuYWEgQS48L2F1dGhvcj48YXV0aG9yPkFsdHVya2ksIEVtYW4gQS48L2F1dGhv
cj48YXV0aG9yPllvdXNlZiwgRG9hYSBBLjwvYXV0aG9yPjxhdXRob3I+WS4gU2hvdWtoZWJhLCBN
YWxhazwvYXV0aG9yPjwvYXV0aG9ycz48L2NvbnRyaWJ1dG9ycz48dGl0bGVzPjx0aXRsZT5BbnRp
YmFjdGVyaWFsIEFjdGl2aXR5IG9mIEJvc3dlbGxpYSBzYWNyYSBGbHVlY2suIE9sZW9yZXNpbiBF
eHRyYWN0IGFnYWluc3QgUG9ycGh5cm9tb25hcyBnaW5naXZhbGlzIFBlcmlvZG9udGFsIFBhdGhv
Z2VuPC90aXRsZT48c2Vjb25kYXJ5LXRpdGxlPkFudGliaW90aWNzPC9zZWNvbmRhcnktdGl0bGU+
PC90aXRsZXM+PHBlcmlvZGljYWw+PGZ1bGwtdGl0bGU+QW50aWJpb3RpY3M8L2Z1bGwtdGl0bGU+
PC9wZXJpb2RpY2FsPjx2b2x1bWU+MTA8L3ZvbHVtZT48bnVtYmVyPjc8L251bWJlcj48a2V5d29y
ZHM+PGtleXdvcmQ+YmlvZmlsbTwva2V5d29yZD48a2V5d29yZD5jaHJvbmljIHBlcmlvZG9udGl0
aXM8L2tleXdvcmQ+PGtleXdvcmQ+ZXh0cmFjZWxsdWxhciBwb2x5c2FjY2hhcmlkZXM8L2tleXdv
cmQ+PGtleXdvcmQ+R0MtTVM8L2tleXdvcmQ+PGtleXdvcmQ+cVJULVBDUjwva2V5d29yZD48a2V5
d29yZD5zY2FubmluZyBlbGVjdHJvbiBtaWNyb3Njb3BlPC9rZXl3b3JkPjwva2V5d29yZHM+PGRh
dGVzPjx5ZWFyPjIwMjE8L3llYXI+PC9kYXRlcz48aXNibj4yMDc5LTYzODI8L2lzYm4+PHVybHM+
PC91cmxzPjxlbGVjdHJvbmljLXJlc291cmNlLW51bT4xMC4zMzkwL2FudGliaW90aWNzMTAwNzA4
NTk8L2VsZWN0cm9uaWMtcmVzb3VyY2UtbnVtPjwvcmVjb3JkPjwvQ2l0ZT48L0VuZE5vdGU+
</w:fldData>
        </w:fldChar>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instrText xml:space="preserve"> ADDIN EN.CITE.DATA </w:instrText>
      </w:r>
      <w:r w:rsidRPr="00A33B32">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r>
      <w:r w:rsidRPr="00A33B32">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fldChar w:fldCharType="end"/>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separate"/>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0A34F7">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3</w:t>
      </w:r>
      <w:r w:rsidR="004962C6">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6</w: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A33B32">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fldChar w:fldCharType="end"/>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The observed antibacterial effect can be attributed to the influence of phenolic ingredients and fatty acids, particularly oleic acid effect. These components have shown to induce alterations in phospholipid composition, causing destruction of the cell membrane, and ultimately leading to cell lysis</w:t>
      </w:r>
      <w:r w:rsidR="00E92474">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begin"/>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&lt;EndNote&gt;&lt;Cite&gt;&lt;Author&gt;Fischer&lt;/Author&gt;&lt;Year&gt;2013&lt;/Year&gt;&lt;RecNum&gt;351&lt;/RecNum&gt;&lt;DisplayText&gt;(32)&lt;/DisplayText&gt;&lt;record&gt;&lt;rec-number&gt;351&lt;/rec-number&gt;&lt;foreign-keys&gt;&lt;key app="EN" db-id="x2w090ve4vrra4e92fn5w29xrfvxa0sz2xsd" timestamp="1632412829"&gt;351&lt;/key&gt;&lt;/foreign-keys&gt;&lt;ref-type name="Journal Article"&gt;17&lt;/ref-type&gt;&lt;contributors&gt;&lt;authors&gt;&lt;author&gt;Fischer, Carol L&lt;/author&gt;&lt;author&gt;Walters, Katherine S&lt;/author&gt;&lt;author&gt;Drake, David R&lt;/author&gt;&lt;author&gt;Dawson, Deborah V&lt;/author&gt;&lt;author&gt;Blanchette, Derek R&lt;/author&gt;&lt;author&gt;Brogden, Kim A&lt;/author&gt;&lt;author&gt;Wertz, Philip W&lt;/author&gt;&lt;/authors&gt;&lt;/contributors&gt;&lt;titles&gt;&lt;title&gt;Oral mucosal lipids are antibacterial against Porphyromonas gingivalis, induce ultrastructural damage, and alter bacterial lipid and protein compositions&lt;/title&gt;&lt;secondary-title&gt;International journal of oral science&lt;/secondary-title&gt;&lt;/titles&gt;&lt;periodical&gt;&lt;full-title&gt;International journal of oral science&lt;/full-title&gt;&lt;/periodical&gt;&lt;pages&gt;130-140&lt;/pages&gt;&lt;volume&gt;5&lt;/volume&gt;&lt;number&gt;3&lt;/number&gt;&lt;dates&gt;&lt;year&gt;2013&lt;/year&gt;&lt;/dates&gt;&lt;isbn&gt;2049-3169&lt;/isbn&gt;&lt;urls&gt;&lt;/urls&gt;&lt;/record&gt;&lt;/Cite&gt;&lt;/EndNote&gt;</w:instrTex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separate"/>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0A34F7">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3</w:t>
      </w:r>
      <w:r w:rsidR="00704B6A">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7</w: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A33B32">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fldChar w:fldCharType="end"/>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w:t>
      </w:r>
      <w:r w:rsidRPr="00A33B32">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t xml:space="preserve"> </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Furthermore, it was discovered that oleic acid inhibits the synthesis of hemagglutinin, which may limit the adherence ability and subsequent colonization of </w:t>
      </w:r>
      <w:r w:rsidRPr="00A33B32">
        <w:rPr>
          <w:rFonts w:ascii="Palatino Linotype" w:eastAsia="Palatino Linotype" w:hAnsi="Palatino Linotype" w:cs="Palatino Linotype"/>
          <w:i/>
          <w:iCs/>
          <w:color w:val="000000"/>
          <w:sz w:val="20"/>
          <w:szCs w:val="20"/>
          <w:u w:color="000000"/>
          <w:bdr w:val="nil"/>
          <w:lang w:bidi="en-US"/>
          <w14:textOutline w14:w="0" w14:cap="flat" w14:cmpd="sng" w14:algn="ctr">
            <w14:noFill/>
            <w14:prstDash w14:val="solid"/>
            <w14:bevel/>
          </w14:textOutline>
        </w:rPr>
        <w:t>P. gingivalis</w:t>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at the target site</w:t>
      </w:r>
      <w:r w:rsidR="00E92474">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begin"/>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instrText xml:space="preserve"> ADDIN EN.CITE &lt;EndNote&gt;&lt;Cite&gt;&lt;Author&gt;Eltigani&lt;/Author&gt;&lt;Year&gt;2019&lt;/Year&gt;&lt;RecNum&gt;352&lt;/RecNum&gt;&lt;DisplayText&gt;(33)&lt;/DisplayText&gt;&lt;record&gt;&lt;rec-number&gt;352&lt;/rec-number&gt;&lt;foreign-keys&gt;&lt;key app="EN" db-id="x2w090ve4vrra4e92fn5w29xrfvxa0sz2xsd" timestamp="1632413117"&gt;352&lt;/key&gt;&lt;/foreign-keys&gt;&lt;ref-type name="Journal Article"&gt;17&lt;/ref-type&gt;&lt;contributors&gt;&lt;authors&gt;&lt;author&gt;Eltigani, Sara A&lt;/author&gt;&lt;author&gt;Eltayeb, Mohamed M&lt;/author&gt;&lt;author&gt;Ishihara, Atsushi&lt;/author&gt;&lt;author&gt;Arima, Jiro&lt;/author&gt;&lt;/authors&gt;&lt;/contributors&gt;&lt;titles&gt;&lt;title&gt;Isolates from Monechma ciliatum seeds&amp;apos; extract hampered Porphyromonas gingivalis hemagglutinins&lt;/title&gt;&lt;secondary-title&gt;Journal of food biochemistry&lt;/secondary-title&gt;&lt;/titles&gt;&lt;periodical&gt;&lt;full-title&gt;Journal of food biochemistry&lt;/full-title&gt;&lt;/periodical&gt;&lt;pages&gt;e13029&lt;/pages&gt;&lt;volume&gt;43&lt;/volume&gt;&lt;number&gt;11&lt;/number&gt;&lt;dates&gt;&lt;year&gt;2019&lt;/year&gt;&lt;/dates&gt;&lt;isbn&gt;0145-8884&lt;/isbn&gt;&lt;urls&gt;&lt;/urls&gt;&lt;/record&gt;&lt;/Cite&gt;&lt;/EndNote&gt;</w:instrTex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fldChar w:fldCharType="separate"/>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000A34F7">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3</w:t>
      </w:r>
      <w:r w:rsidR="00704B6A">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8</w:t>
      </w:r>
      <w:r w:rsidRPr="00A33B32">
        <w:rPr>
          <w:rFonts w:ascii="Palatino Linotype" w:eastAsia="Palatino Linotype" w:hAnsi="Palatino Linotype" w:cs="Palatino Linotype"/>
          <w:color w:val="000000"/>
          <w:sz w:val="20"/>
          <w:szCs w:val="20"/>
          <w:u w:color="000000"/>
          <w:bdr w:val="nil"/>
          <w:vertAlign w:val="superscript"/>
          <w:lang w:bidi="en-US"/>
          <w14:textOutline w14:w="0" w14:cap="flat" w14:cmpd="sng" w14:algn="ctr">
            <w14:noFill/>
            <w14:prstDash w14:val="solid"/>
            <w14:bevel/>
          </w14:textOutline>
        </w:rPr>
        <w:t>)</w:t>
      </w:r>
      <w:r w:rsidRPr="00A33B32">
        <w:rPr>
          <w:rFonts w:ascii="Palatino Linotype" w:eastAsia="Palatino Linotype" w:hAnsi="Palatino Linotype" w:cs="Palatino Linotype"/>
          <w:color w:val="000000"/>
          <w:sz w:val="20"/>
          <w:szCs w:val="20"/>
          <w:u w:color="000000"/>
          <w:bdr w:val="nil"/>
          <w:vertAlign w:val="superscript"/>
          <w14:textOutline w14:w="0" w14:cap="flat" w14:cmpd="sng" w14:algn="ctr">
            <w14:noFill/>
            <w14:prstDash w14:val="solid"/>
            <w14:bevel/>
          </w14:textOutline>
        </w:rPr>
        <w:fldChar w:fldCharType="end"/>
      </w:r>
      <w:r w:rsidRPr="00A33B32">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t xml:space="preserve">. </w:t>
      </w:r>
    </w:p>
    <w:p w14:paraId="5C5BFB7A" w14:textId="47745A7D" w:rsidR="00EF1956" w:rsidRPr="00EF1956" w:rsidRDefault="00EF1956" w:rsidP="00B272FE">
      <w:pPr>
        <w:pBdr>
          <w:top w:val="nil"/>
          <w:left w:val="nil"/>
          <w:bottom w:val="nil"/>
          <w:right w:val="nil"/>
          <w:between w:val="nil"/>
          <w:bar w:val="nil"/>
        </w:pBdr>
        <w:tabs>
          <w:tab w:val="left" w:pos="1134"/>
        </w:tabs>
        <w:spacing w:before="240" w:line="276" w:lineRule="auto"/>
        <w:ind w:left="720" w:right="543"/>
        <w:jc w:val="both"/>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pPr>
      <w:r w:rsidRPr="00EF19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Biofilm Inhibition</w:t>
      </w:r>
    </w:p>
    <w:p w14:paraId="3D2759B2" w14:textId="66B92CF2" w:rsidR="002251F3" w:rsidRDefault="000A59FF" w:rsidP="00B272FE">
      <w:pPr>
        <w:pBdr>
          <w:top w:val="nil"/>
          <w:left w:val="nil"/>
          <w:bottom w:val="nil"/>
          <w:right w:val="nil"/>
          <w:between w:val="nil"/>
          <w:bar w:val="nil"/>
        </w:pBdr>
        <w:spacing w:line="276" w:lineRule="auto"/>
        <w:ind w:left="720" w:right="543"/>
        <w:jc w:val="both"/>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pPr>
      <w:r>
        <w:rPr>
          <w:rFonts w:ascii="Palatino Linotype" w:eastAsia="Palatino Linotype" w:hAnsi="Palatino Linotype"/>
          <w:iCs/>
          <w:color w:val="000000"/>
          <w:sz w:val="20"/>
          <w:szCs w:val="20"/>
          <w:u w:color="000000"/>
          <w:bdr w:val="nil"/>
          <w:lang w:bidi="ar-IQ"/>
          <w14:textOutline w14:w="0" w14:cap="flat" w14:cmpd="sng" w14:algn="ctr">
            <w14:noFill/>
            <w14:prstDash w14:val="solid"/>
            <w14:bevel/>
          </w14:textOutline>
        </w:rPr>
        <w:t xml:space="preserve">A </w:t>
      </w:r>
      <w:r w:rsidR="00E73919" w:rsidRPr="00EF19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polymicrobial consortia</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merits</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to live</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in a biofilm </w:t>
      </w:r>
      <w:r w:rsid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over the</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planktonic state. </w:t>
      </w:r>
      <w:proofErr w:type="spellStart"/>
      <w:r w:rsid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Inspite</w:t>
      </w:r>
      <w:proofErr w:type="spellEnd"/>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of </w:t>
      </w:r>
      <w:r w:rsid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the advantages attributed </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to biofilm formation</w:t>
      </w:r>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including</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bacterial synergism, </w:t>
      </w:r>
      <w:r w:rsidR="00272456"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antibiotic resistance</w:t>
      </w:r>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t>
      </w:r>
      <w:r w:rsidR="00272456"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nutrient exchange, </w:t>
      </w:r>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and </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neutralizing harmful </w:t>
      </w:r>
      <w:r w:rsidR="00E92474"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molecules</w:t>
      </w:r>
      <w:r w:rsidR="00E92474" w:rsidRPr="00DD48F3">
        <w:rPr>
          <w:rFonts w:ascii="Palatino Linotype" w:eastAsia="Palatino Linotype" w:hAnsi="Palatino Linotype" w:cs="Palatino Linotype"/>
          <w:iCs/>
          <w:color w:val="000000"/>
          <w:sz w:val="20"/>
          <w:szCs w:val="20"/>
          <w:u w:color="000000"/>
          <w:bdr w:val="nil"/>
          <w:vertAlign w:val="superscript"/>
          <w:lang w:bidi="en-US"/>
          <w14:textOutline w14:w="0" w14:cap="flat" w14:cmpd="sng" w14:algn="ctr">
            <w14:noFill/>
            <w14:prstDash w14:val="solid"/>
            <w14:bevel/>
          </w14:textOutline>
        </w:rPr>
        <w:t xml:space="preserve"> (</w:t>
      </w:r>
      <w:r w:rsidR="000A34F7">
        <w:rPr>
          <w:rFonts w:ascii="Palatino Linotype" w:eastAsia="Palatino Linotype" w:hAnsi="Palatino Linotype" w:cs="Palatino Linotype"/>
          <w:iCs/>
          <w:color w:val="000000"/>
          <w:sz w:val="20"/>
          <w:szCs w:val="20"/>
          <w:u w:color="000000"/>
          <w:bdr w:val="nil"/>
          <w:vertAlign w:val="superscript"/>
          <w:lang w:bidi="en-US"/>
          <w14:textOutline w14:w="0" w14:cap="flat" w14:cmpd="sng" w14:algn="ctr">
            <w14:noFill/>
            <w14:prstDash w14:val="solid"/>
            <w14:bevel/>
          </w14:textOutline>
        </w:rPr>
        <w:t>3</w:t>
      </w:r>
      <w:r w:rsidR="0076417B">
        <w:rPr>
          <w:rFonts w:ascii="Palatino Linotype" w:eastAsia="Palatino Linotype" w:hAnsi="Palatino Linotype" w:cs="Palatino Linotype"/>
          <w:iCs/>
          <w:color w:val="000000"/>
          <w:sz w:val="20"/>
          <w:szCs w:val="20"/>
          <w:u w:color="000000"/>
          <w:bdr w:val="nil"/>
          <w:vertAlign w:val="superscript"/>
          <w:lang w:bidi="en-US"/>
          <w14:textOutline w14:w="0" w14:cap="flat" w14:cmpd="sng" w14:algn="ctr">
            <w14:noFill/>
            <w14:prstDash w14:val="solid"/>
            <w14:bevel/>
          </w14:textOutline>
        </w:rPr>
        <w:t>9</w:t>
      </w:r>
      <w:r w:rsidR="00E73919" w:rsidRPr="00DD48F3">
        <w:rPr>
          <w:rFonts w:ascii="Palatino Linotype" w:eastAsia="Palatino Linotype" w:hAnsi="Palatino Linotype" w:cs="Palatino Linotype"/>
          <w:iCs/>
          <w:color w:val="000000"/>
          <w:sz w:val="20"/>
          <w:szCs w:val="20"/>
          <w:u w:color="000000"/>
          <w:bdr w:val="nil"/>
          <w:vertAlign w:val="superscript"/>
          <w:lang w:bidi="en-US"/>
          <w14:textOutline w14:w="0" w14:cap="flat" w14:cmpd="sng" w14:algn="ctr">
            <w14:noFill/>
            <w14:prstDash w14:val="solid"/>
            <w14:bevel/>
          </w14:textOutline>
        </w:rPr>
        <w:t>)</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Bacterial need for stable and firm colonization in this mode of living remains challenging. This mediated through</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firm </w:t>
      </w:r>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adherence</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on the </w:t>
      </w:r>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colonizing</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hard and soft </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surfaces, </w:t>
      </w:r>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including</w:t>
      </w:r>
      <w:r w:rsidR="00E73919" w:rsidRPr="00E73919">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teeth and soft tissues.</w:t>
      </w:r>
      <w:r w:rsid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Accordingly</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the biological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effect</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of the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ethanolic</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extract of </w:t>
      </w:r>
      <w:r w:rsidR="00AC0AC7" w:rsidRPr="00AC0AC7">
        <w:rPr>
          <w:rFonts w:ascii="Palatino Linotype" w:hAnsi="Palatino Linotype"/>
          <w:sz w:val="20"/>
          <w:szCs w:val="20"/>
        </w:rPr>
        <w:t>Mo</w:t>
      </w:r>
      <w:r w:rsidR="00AC0AC7">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leaf</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225F7A">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was</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investigated</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by evaluating the anti-biofilm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activity</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of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the ethanolic</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AC0AC7" w:rsidRPr="00AC0AC7">
        <w:rPr>
          <w:rFonts w:ascii="Palatino Linotype" w:hAnsi="Palatino Linotype"/>
          <w:sz w:val="20"/>
          <w:szCs w:val="20"/>
        </w:rPr>
        <w:t>Mo</w:t>
      </w:r>
      <w:r w:rsidR="00AC0AC7"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E102D2"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L.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leaf</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extracts</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using </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tube adhesion method</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T</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he same tubes following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determining the </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MIC of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these</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extracts</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were used</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H</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ighest anti-biofilm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activity </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was observed with the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MBC tube value </w:t>
      </w:r>
      <w:r w:rsidR="00CE08C1">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1.55</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mg/ml, score=1</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(1.11±0.33</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followed by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MIC tube value</w:t>
      </w:r>
      <w:r w:rsidR="00CE08C1">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0.78</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mg/ml,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very close to </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score=1</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1</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.33</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±0.</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5</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while the minimum </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activity</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was related to </w:t>
      </w:r>
      <w:r w:rsidR="00AC0AC7" w:rsidRPr="00AC0AC7">
        <w:rPr>
          <w:rFonts w:ascii="Palatino Linotype" w:hAnsi="Palatino Linotype"/>
          <w:sz w:val="20"/>
          <w:szCs w:val="20"/>
        </w:rPr>
        <w:lastRenderedPageBreak/>
        <w:t>Mo</w:t>
      </w:r>
      <w:r w:rsidR="00AC0AC7">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r w:rsidR="00E102D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leaf conc. </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=0.34 mg/ml, s</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core=</w:t>
      </w:r>
      <w:r w:rsidR="00CE08C1">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2 (</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2.33</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±0</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.7</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t>
      </w:r>
      <w:r w:rsidR="006023EB">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Th</w:t>
      </w:r>
      <w:r w:rsidR="00CE08C1">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e</w:t>
      </w:r>
      <w:r w:rsidR="006023EB">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trend </w:t>
      </w:r>
      <w:r w:rsidR="00CE08C1">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of</w:t>
      </w:r>
      <w:r w:rsidR="006023EB">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these results </w:t>
      </w:r>
      <w:r w:rsidR="00AC0AC7">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was</w:t>
      </w:r>
      <w:r w:rsidR="006023EB">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supported by our previous </w:t>
      </w:r>
      <w:r w:rsidR="00CE08C1">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investigation</w:t>
      </w:r>
      <w:r w:rsidR="006023EB">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using Mo leaf aqueous extract although using different extract </w:t>
      </w:r>
      <w:r w:rsidR="00E92474">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solvent</w:t>
      </w:r>
      <w:r w:rsidR="00E92474" w:rsidRPr="00DD48F3">
        <w:rPr>
          <w:rFonts w:ascii="Palatino Linotype" w:eastAsia="Palatino Linotype" w:hAnsi="Palatino Linotype" w:cs="Palatino Linotype"/>
          <w:iCs/>
          <w:color w:val="000000"/>
          <w:sz w:val="20"/>
          <w:szCs w:val="20"/>
          <w:u w:color="000000"/>
          <w:bdr w:val="nil"/>
          <w:vertAlign w:val="superscript"/>
          <w:lang w:bidi="en-US"/>
          <w14:textOutline w14:w="0" w14:cap="flat" w14:cmpd="sng" w14:algn="ctr">
            <w14:noFill/>
            <w14:prstDash w14:val="solid"/>
            <w14:bevel/>
          </w14:textOutline>
        </w:rPr>
        <w:t xml:space="preserve"> (</w:t>
      </w:r>
      <w:r w:rsidR="00AE564E">
        <w:rPr>
          <w:rFonts w:ascii="Palatino Linotype" w:eastAsia="Palatino Linotype" w:hAnsi="Palatino Linotype" w:cs="Palatino Linotype"/>
          <w:iCs/>
          <w:color w:val="000000"/>
          <w:sz w:val="20"/>
          <w:szCs w:val="20"/>
          <w:u w:color="000000"/>
          <w:bdr w:val="nil"/>
          <w:vertAlign w:val="superscript"/>
          <w:lang w:bidi="en-US"/>
          <w14:textOutline w14:w="0" w14:cap="flat" w14:cmpd="sng" w14:algn="ctr">
            <w14:noFill/>
            <w14:prstDash w14:val="solid"/>
            <w14:bevel/>
          </w14:textOutline>
        </w:rPr>
        <w:t>1</w:t>
      </w:r>
      <w:r w:rsidR="000D269D">
        <w:rPr>
          <w:rFonts w:ascii="Palatino Linotype" w:eastAsia="Palatino Linotype" w:hAnsi="Palatino Linotype" w:cs="Palatino Linotype"/>
          <w:iCs/>
          <w:color w:val="000000"/>
          <w:sz w:val="20"/>
          <w:szCs w:val="20"/>
          <w:u w:color="000000"/>
          <w:bdr w:val="nil"/>
          <w:vertAlign w:val="superscript"/>
          <w:lang w:bidi="en-US"/>
          <w14:textOutline w14:w="0" w14:cap="flat" w14:cmpd="sng" w14:algn="ctr">
            <w14:noFill/>
            <w14:prstDash w14:val="solid"/>
            <w14:bevel/>
          </w14:textOutline>
        </w:rPr>
        <w:t>3</w:t>
      </w:r>
      <w:r w:rsidR="00DD48F3" w:rsidRPr="00DD48F3">
        <w:rPr>
          <w:rFonts w:ascii="Palatino Linotype" w:eastAsia="Palatino Linotype" w:hAnsi="Palatino Linotype" w:cs="Palatino Linotype"/>
          <w:iCs/>
          <w:color w:val="000000"/>
          <w:sz w:val="20"/>
          <w:szCs w:val="20"/>
          <w:u w:color="000000"/>
          <w:bdr w:val="nil"/>
          <w:vertAlign w:val="superscript"/>
          <w:lang w:bidi="en-US"/>
          <w14:textOutline w14:w="0" w14:cap="flat" w14:cmpd="sng" w14:algn="ctr">
            <w14:noFill/>
            <w14:prstDash w14:val="solid"/>
            <w14:bevel/>
          </w14:textOutline>
        </w:rPr>
        <w:t>)</w:t>
      </w:r>
      <w:r w:rsidR="006023EB">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However, these anti-biofilm effects </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were</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shown to </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be increased</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with </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decreasing</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their concentrations</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This</w:t>
      </w:r>
      <w:r w:rsidR="00272456" w:rsidRPr="00272456">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may </w:t>
      </w:r>
      <w:r w:rsidR="006023EB" w:rsidRP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be attributed</w:t>
      </w:r>
      <w:r w:rsidR="00D26C0C" w:rsidRP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to the </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activity</w:t>
      </w:r>
      <w:r w:rsidR="00D26C0C" w:rsidRP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of the bioactive compounds</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that may be attenuated when decreasing their concentrations </w:t>
      </w:r>
      <w:r w:rsidR="00D26C0C" w:rsidRP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against bacterial adherence and survival</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resulting in changing the whole biofilm formation and vise-versa</w:t>
      </w:r>
      <w:r w:rsidR="00D26C0C" w:rsidRP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t>
      </w:r>
    </w:p>
    <w:p w14:paraId="726C98BC" w14:textId="0F5C1773" w:rsidR="00EF1956" w:rsidRPr="00EF1956" w:rsidRDefault="00EF1956" w:rsidP="00B272FE">
      <w:pPr>
        <w:pBdr>
          <w:top w:val="nil"/>
          <w:left w:val="nil"/>
          <w:bottom w:val="nil"/>
          <w:right w:val="nil"/>
          <w:between w:val="nil"/>
          <w:bar w:val="nil"/>
        </w:pBdr>
        <w:spacing w:before="240" w:after="60" w:line="276" w:lineRule="auto"/>
        <w:ind w:left="720" w:right="543"/>
        <w:jc w:val="both"/>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pPr>
      <w:r w:rsidRPr="00EF1956">
        <w:rPr>
          <w:rFonts w:ascii="Palatino Linotype" w:hAnsi="Palatino Linotype"/>
          <w:sz w:val="20"/>
          <w:szCs w:val="20"/>
        </w:rPr>
        <w:t>Limitations and Future Work</w:t>
      </w:r>
    </w:p>
    <w:p w14:paraId="0D3CAB36" w14:textId="035E79FA" w:rsidR="00A33B32" w:rsidRPr="00A33B32" w:rsidRDefault="00A33B32" w:rsidP="00B272FE">
      <w:pPr>
        <w:pBdr>
          <w:top w:val="nil"/>
          <w:left w:val="nil"/>
          <w:bottom w:val="nil"/>
          <w:right w:val="nil"/>
          <w:between w:val="nil"/>
          <w:bar w:val="nil"/>
        </w:pBdr>
        <w:spacing w:line="276" w:lineRule="auto"/>
        <w:ind w:left="720" w:right="543"/>
        <w:jc w:val="both"/>
        <w:rPr>
          <w:rFonts w:ascii="Palatino Linotype" w:eastAsia="Palatino Linotype" w:hAnsi="Palatino Linotype" w:cs="Palatino Linotype"/>
          <w:color w:val="000000"/>
          <w:sz w:val="20"/>
          <w:szCs w:val="20"/>
          <w:u w:color="000000"/>
          <w:bdr w:val="nil"/>
          <w:lang w:bidi="en-US"/>
          <w14:textOutline w14:w="0" w14:cap="flat" w14:cmpd="sng" w14:algn="ctr">
            <w14:noFill/>
            <w14:prstDash w14:val="solid"/>
            <w14:bevel/>
          </w14:textOutline>
        </w:rPr>
      </w:pPr>
      <w:bookmarkStart w:id="9" w:name="_Hlk211020543"/>
      <w:r w:rsidRPr="00A33B3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One limitation of this study is that some biologically active components of Mo leaves may not </w:t>
      </w:r>
      <w:r w:rsidR="00D26C0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be </w:t>
      </w:r>
      <w:r w:rsidRPr="00A33B3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detected by GC-MS analysis</w:t>
      </w:r>
      <w:r w:rsidR="00B70F4C">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t>
      </w:r>
      <w:r w:rsidRPr="00A33B3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This </w:t>
      </w:r>
      <w:r w:rsidR="0080508B">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could be brought by</w:t>
      </w:r>
      <w:r w:rsidRPr="00A33B32">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the probable chance of being not detected by the GC-MS itself due to its sensitivity of detection, although they were extracted or no chance to be extracted using the involved solvent. However, using other methods for phytochemical screening in future studies including high-performance liquid chromatography (HPLC) is suggested for detecting ingredients that can’t decompose at high temperatures or subjected to vaporization</w:t>
      </w:r>
      <w:r w:rsidR="000E5DAF">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w:t>
      </w:r>
      <w:r w:rsidR="005E1CA8">
        <w:rPr>
          <w:rFonts w:ascii="Palatino Linotype" w:eastAsia="Palatino Linotype" w:hAnsi="Palatino Linotype" w:cs="Palatino Linotype"/>
          <w:iCs/>
          <w:color w:val="000000"/>
          <w:sz w:val="20"/>
          <w:szCs w:val="20"/>
          <w:u w:color="000000"/>
          <w:bdr w:val="nil"/>
          <w:lang w:bidi="en-US"/>
          <w14:textOutline w14:w="0" w14:cap="flat" w14:cmpd="sng" w14:algn="ctr">
            <w14:noFill/>
            <w14:prstDash w14:val="solid"/>
            <w14:bevel/>
          </w14:textOutline>
        </w:rPr>
        <w:t xml:space="preserve"> </w:t>
      </w:r>
    </w:p>
    <w:bookmarkEnd w:id="9"/>
    <w:p w14:paraId="72393EAA" w14:textId="156649DC" w:rsidR="00AD30DC" w:rsidRPr="00060C12" w:rsidRDefault="003F61FD" w:rsidP="00B272FE">
      <w:pPr>
        <w:pStyle w:val="Body"/>
        <w:spacing w:before="240" w:after="60" w:line="240" w:lineRule="atLeast"/>
        <w:ind w:left="0" w:right="543"/>
        <w:rPr>
          <w:rFonts w:eastAsia="Calibri Light" w:cstheme="majorBidi"/>
        </w:rPr>
      </w:pPr>
      <w:r>
        <w:rPr>
          <w:rFonts w:eastAsia="Calibri Light" w:cstheme="majorBidi"/>
        </w:rPr>
        <w:t xml:space="preserve">     </w:t>
      </w:r>
      <w:r w:rsidR="00AD30DC" w:rsidRPr="00060C12">
        <w:rPr>
          <w:rFonts w:cstheme="majorBidi"/>
          <w:b/>
          <w:bCs/>
        </w:rPr>
        <w:t>Conclusion</w:t>
      </w:r>
    </w:p>
    <w:p w14:paraId="17024F0E" w14:textId="44FB3E0B" w:rsidR="00AD30DC" w:rsidRPr="005F36B8" w:rsidRDefault="003920BF" w:rsidP="00B272FE">
      <w:pPr>
        <w:pStyle w:val="Body"/>
        <w:spacing w:before="240" w:after="60" w:line="276" w:lineRule="auto"/>
        <w:ind w:right="543" w:firstLine="0"/>
        <w:rPr>
          <w:rFonts w:eastAsia="Calibri Light" w:cstheme="majorBidi"/>
        </w:rPr>
      </w:pPr>
      <w:r>
        <w:rPr>
          <w:rFonts w:cstheme="majorBidi"/>
        </w:rPr>
        <w:t xml:space="preserve">        </w:t>
      </w:r>
      <w:r w:rsidR="00AF7DCC" w:rsidRPr="00AF7DCC">
        <w:rPr>
          <w:rFonts w:cstheme="majorBidi"/>
        </w:rPr>
        <w:t xml:space="preserve">Augmentin and Metronidazole exhibited no sensitivity against </w:t>
      </w:r>
      <w:r w:rsidR="00AF7DCC" w:rsidRPr="00EF6F8A">
        <w:rPr>
          <w:rFonts w:cstheme="majorBidi"/>
          <w:i/>
          <w:iCs/>
        </w:rPr>
        <w:t xml:space="preserve">P. </w:t>
      </w:r>
      <w:r w:rsidR="00AF7DCC" w:rsidRPr="00376BE8">
        <w:rPr>
          <w:rFonts w:cstheme="majorBidi"/>
          <w:i/>
          <w:iCs/>
        </w:rPr>
        <w:t>gingivalis</w:t>
      </w:r>
      <w:r w:rsidR="00AF7DCC" w:rsidRPr="00376BE8">
        <w:rPr>
          <w:rFonts w:cstheme="majorBidi"/>
        </w:rPr>
        <w:t xml:space="preserve">, suggesting its resistance against these widely used medications in treating periodontitis. In contrast, Mo leaves ethanolic extract demonstrated a promising antibacterial effect against clinical </w:t>
      </w:r>
      <w:r w:rsidR="00AF7DCC" w:rsidRPr="00376BE8">
        <w:rPr>
          <w:rFonts w:cstheme="majorBidi"/>
          <w:i/>
          <w:iCs/>
        </w:rPr>
        <w:t>P.</w:t>
      </w:r>
      <w:r w:rsidR="00AF7DCC" w:rsidRPr="00376BE8">
        <w:rPr>
          <w:rFonts w:cstheme="majorBidi"/>
        </w:rPr>
        <w:t xml:space="preserve"> </w:t>
      </w:r>
      <w:r w:rsidR="00AF7DCC" w:rsidRPr="00376BE8">
        <w:rPr>
          <w:rFonts w:cstheme="majorBidi"/>
          <w:i/>
          <w:iCs/>
        </w:rPr>
        <w:t>gingivalis</w:t>
      </w:r>
      <w:r w:rsidR="00AF7DCC" w:rsidRPr="00376BE8">
        <w:rPr>
          <w:rFonts w:cstheme="majorBidi"/>
        </w:rPr>
        <w:t xml:space="preserve"> isolates.</w:t>
      </w:r>
      <w:r w:rsidR="00457BB4" w:rsidRPr="00376BE8">
        <w:rPr>
          <w:rFonts w:cstheme="majorBidi"/>
        </w:rPr>
        <w:t xml:space="preserve"> However, further characterizations of Mo leaves such as cytotoxicity</w:t>
      </w:r>
      <w:r w:rsidR="001579B9" w:rsidRPr="00376BE8">
        <w:rPr>
          <w:rFonts w:cstheme="majorBidi"/>
        </w:rPr>
        <w:t xml:space="preserve"> test</w:t>
      </w:r>
      <w:r w:rsidR="00457BB4" w:rsidRPr="00376BE8">
        <w:rPr>
          <w:rFonts w:cstheme="majorBidi"/>
        </w:rPr>
        <w:t xml:space="preserve"> needs to be explored.</w:t>
      </w:r>
      <w:r w:rsidR="00AF7DCC" w:rsidRPr="00376BE8">
        <w:rPr>
          <w:rFonts w:cstheme="majorBidi"/>
        </w:rPr>
        <w:t xml:space="preserve"> These findings may provide valuable insights for developing herbal medicine-related products as alternatives to </w:t>
      </w:r>
      <w:r w:rsidR="003945C1" w:rsidRPr="00376BE8">
        <w:rPr>
          <w:rFonts w:cstheme="majorBidi"/>
        </w:rPr>
        <w:t xml:space="preserve">regional </w:t>
      </w:r>
      <w:r w:rsidR="00AF7DCC" w:rsidRPr="00376BE8">
        <w:rPr>
          <w:rFonts w:cstheme="majorBidi"/>
        </w:rPr>
        <w:t>antibiotic</w:t>
      </w:r>
      <w:r w:rsidR="003945C1" w:rsidRPr="00376BE8">
        <w:rPr>
          <w:rFonts w:cstheme="majorBidi"/>
        </w:rPr>
        <w:t xml:space="preserve"> overuse in the treatment of periodontal diseases. In addition, the potential to translate these derivatives in oral care formulations at preclinical and clinical levels would be greatly encouraged.</w:t>
      </w:r>
      <w:r w:rsidR="003945C1">
        <w:rPr>
          <w:rFonts w:cstheme="majorBidi"/>
        </w:rPr>
        <w:t xml:space="preserve"> </w:t>
      </w:r>
    </w:p>
    <w:p w14:paraId="1B88CE56" w14:textId="21E06183" w:rsidR="00EF70C7" w:rsidRDefault="00AD30DC" w:rsidP="00B272FE">
      <w:pPr>
        <w:pStyle w:val="Body"/>
        <w:spacing w:before="240" w:after="60" w:line="240" w:lineRule="atLeast"/>
        <w:ind w:left="0" w:right="543" w:firstLine="720"/>
        <w:rPr>
          <w:rFonts w:cstheme="majorBidi"/>
        </w:rPr>
      </w:pPr>
      <w:r w:rsidRPr="00060C12">
        <w:rPr>
          <w:rFonts w:cstheme="majorBidi"/>
          <w:b/>
          <w:bCs/>
        </w:rPr>
        <w:t>Conflict of interest</w:t>
      </w:r>
    </w:p>
    <w:p w14:paraId="0D0000A5" w14:textId="29A8D822" w:rsidR="003F0587" w:rsidRDefault="00BC3CAF" w:rsidP="00B272FE">
      <w:pPr>
        <w:pStyle w:val="Body"/>
        <w:spacing w:before="240" w:after="60" w:line="240" w:lineRule="atLeast"/>
        <w:ind w:left="0" w:right="543" w:firstLine="720"/>
        <w:rPr>
          <w:rFonts w:eastAsia="Calibri Light" w:cstheme="majorBidi"/>
          <w:b/>
          <w:bCs/>
          <w:sz w:val="21"/>
          <w:szCs w:val="21"/>
        </w:rPr>
      </w:pPr>
      <w:r w:rsidRPr="00BC3CAF">
        <w:rPr>
          <w:rFonts w:cstheme="majorBidi"/>
        </w:rPr>
        <w:t>The authors have no conflicts of interest to declare.</w:t>
      </w:r>
      <w:r w:rsidR="00411515" w:rsidRPr="00CE2509">
        <w:rPr>
          <w:rFonts w:eastAsia="Calibri Light" w:cstheme="majorBidi"/>
          <w:b/>
          <w:bCs/>
          <w:sz w:val="21"/>
          <w:szCs w:val="21"/>
        </w:rPr>
        <w:tab/>
      </w:r>
    </w:p>
    <w:p w14:paraId="31F5BB7D" w14:textId="4916DBED" w:rsidR="00411515" w:rsidRPr="00CE2509" w:rsidRDefault="00411515" w:rsidP="00B272FE">
      <w:pPr>
        <w:pStyle w:val="Body"/>
        <w:spacing w:before="240" w:after="60" w:line="240" w:lineRule="atLeast"/>
        <w:ind w:left="0" w:right="543" w:firstLine="720"/>
        <w:rPr>
          <w:rFonts w:eastAsia="Calibri Light" w:cstheme="majorBidi"/>
          <w:b/>
          <w:bCs/>
          <w:sz w:val="21"/>
          <w:szCs w:val="21"/>
        </w:rPr>
      </w:pPr>
      <w:r w:rsidRPr="00CE2509">
        <w:rPr>
          <w:rFonts w:eastAsia="Calibri Light" w:cstheme="majorBidi"/>
          <w:b/>
          <w:bCs/>
          <w:sz w:val="21"/>
          <w:szCs w:val="21"/>
        </w:rPr>
        <w:t>Author contributions</w:t>
      </w:r>
    </w:p>
    <w:p w14:paraId="67DD2233" w14:textId="4F9390B9" w:rsidR="00411515" w:rsidRDefault="00EE4CF8" w:rsidP="00B272FE">
      <w:pPr>
        <w:pStyle w:val="Body"/>
        <w:spacing w:before="240" w:after="60" w:line="240" w:lineRule="atLeast"/>
        <w:ind w:right="543" w:firstLine="0"/>
        <w:rPr>
          <w:rFonts w:eastAsia="Calibri Light" w:cstheme="majorBidi"/>
          <w:sz w:val="21"/>
          <w:szCs w:val="21"/>
        </w:rPr>
      </w:pPr>
      <w:r>
        <w:rPr>
          <w:rFonts w:eastAsia="Calibri Light" w:cstheme="majorBidi"/>
          <w:sz w:val="21"/>
          <w:szCs w:val="21"/>
        </w:rPr>
        <w:t>FB</w:t>
      </w:r>
      <w:r w:rsidR="0040484C">
        <w:rPr>
          <w:rFonts w:eastAsia="Calibri Light" w:cstheme="majorBidi" w:hint="cs"/>
          <w:sz w:val="21"/>
          <w:szCs w:val="21"/>
          <w:rtl/>
        </w:rPr>
        <w:t>T</w:t>
      </w:r>
      <w:r w:rsidR="00EF70C7" w:rsidRPr="008F50F9">
        <w:rPr>
          <w:rFonts w:eastAsia="Calibri Light" w:cstheme="majorBidi"/>
          <w:sz w:val="21"/>
          <w:szCs w:val="21"/>
        </w:rPr>
        <w:t xml:space="preserve">; </w:t>
      </w:r>
      <w:r w:rsidR="000C10A8" w:rsidRPr="008F50F9">
        <w:rPr>
          <w:rFonts w:eastAsia="Calibri Light" w:cstheme="majorBidi"/>
          <w:sz w:val="21"/>
          <w:szCs w:val="21"/>
        </w:rPr>
        <w:t>study conception and design</w:t>
      </w:r>
      <w:r w:rsidR="00EF70C7" w:rsidRPr="008F50F9">
        <w:rPr>
          <w:rFonts w:eastAsia="Calibri Light" w:cstheme="majorBidi"/>
          <w:sz w:val="21"/>
          <w:szCs w:val="21"/>
        </w:rPr>
        <w:t>.</w:t>
      </w:r>
      <w:r w:rsidR="000C10A8" w:rsidRPr="008F50F9">
        <w:rPr>
          <w:rFonts w:eastAsia="Calibri Light" w:cstheme="majorBidi"/>
          <w:sz w:val="21"/>
          <w:szCs w:val="21"/>
        </w:rPr>
        <w:t xml:space="preserve"> </w:t>
      </w:r>
      <w:r>
        <w:rPr>
          <w:rFonts w:eastAsia="Calibri Light" w:cstheme="majorBidi"/>
          <w:sz w:val="21"/>
          <w:szCs w:val="21"/>
        </w:rPr>
        <w:t>AFM</w:t>
      </w:r>
      <w:r w:rsidR="00EF70C7" w:rsidRPr="008F50F9">
        <w:rPr>
          <w:rFonts w:eastAsia="Calibri Light" w:cstheme="majorBidi"/>
          <w:sz w:val="21"/>
          <w:szCs w:val="21"/>
        </w:rPr>
        <w:t xml:space="preserve">; </w:t>
      </w:r>
      <w:r w:rsidR="000C10A8" w:rsidRPr="008F50F9">
        <w:rPr>
          <w:rFonts w:eastAsia="Calibri Light" w:cstheme="majorBidi"/>
          <w:sz w:val="21"/>
          <w:szCs w:val="21"/>
        </w:rPr>
        <w:t>data collection</w:t>
      </w:r>
      <w:r w:rsidR="00CE2509" w:rsidRPr="008F50F9">
        <w:rPr>
          <w:rFonts w:eastAsia="Calibri Light" w:cstheme="majorBidi"/>
          <w:sz w:val="21"/>
          <w:szCs w:val="21"/>
        </w:rPr>
        <w:t xml:space="preserve">. </w:t>
      </w:r>
      <w:r>
        <w:rPr>
          <w:rFonts w:eastAsia="Calibri Light" w:cstheme="majorBidi"/>
          <w:sz w:val="21"/>
          <w:szCs w:val="21"/>
        </w:rPr>
        <w:t>FB</w:t>
      </w:r>
      <w:r w:rsidR="0040484C">
        <w:rPr>
          <w:rFonts w:eastAsia="Calibri Light" w:cstheme="majorBidi" w:hint="cs"/>
          <w:sz w:val="21"/>
          <w:szCs w:val="21"/>
          <w:rtl/>
        </w:rPr>
        <w:t>T</w:t>
      </w:r>
      <w:r w:rsidR="00F02368" w:rsidRPr="00F02368">
        <w:rPr>
          <w:rFonts w:eastAsia="Calibri Light" w:cstheme="majorBidi"/>
          <w:sz w:val="21"/>
          <w:szCs w:val="21"/>
        </w:rPr>
        <w:t xml:space="preserve"> and </w:t>
      </w:r>
      <w:r>
        <w:rPr>
          <w:rFonts w:eastAsia="Calibri Light" w:cstheme="majorBidi"/>
          <w:sz w:val="21"/>
          <w:szCs w:val="21"/>
        </w:rPr>
        <w:t>AFM</w:t>
      </w:r>
      <w:r w:rsidR="006705C9">
        <w:rPr>
          <w:rFonts w:eastAsia="Calibri Light" w:cstheme="majorBidi"/>
          <w:sz w:val="21"/>
          <w:szCs w:val="21"/>
        </w:rPr>
        <w:t>;</w:t>
      </w:r>
      <w:r w:rsidR="000C10A8" w:rsidRPr="008F50F9">
        <w:rPr>
          <w:rFonts w:eastAsia="Calibri Light" w:cstheme="majorBidi"/>
          <w:sz w:val="21"/>
          <w:szCs w:val="21"/>
        </w:rPr>
        <w:t xml:space="preserve"> </w:t>
      </w:r>
      <w:r w:rsidR="00CE2509" w:rsidRPr="008F50F9">
        <w:rPr>
          <w:rFonts w:eastAsia="Calibri Light" w:cstheme="majorBidi"/>
          <w:sz w:val="21"/>
          <w:szCs w:val="21"/>
        </w:rPr>
        <w:t xml:space="preserve">statistical </w:t>
      </w:r>
      <w:r w:rsidR="000C10A8" w:rsidRPr="008F50F9">
        <w:rPr>
          <w:rFonts w:eastAsia="Calibri Light" w:cstheme="majorBidi"/>
          <w:sz w:val="21"/>
          <w:szCs w:val="21"/>
        </w:rPr>
        <w:t>analysis and interpretation of results</w:t>
      </w:r>
      <w:r w:rsidR="00EF70C7" w:rsidRPr="008F50F9">
        <w:rPr>
          <w:rFonts w:eastAsia="Calibri Light" w:cstheme="majorBidi"/>
          <w:sz w:val="21"/>
          <w:szCs w:val="21"/>
        </w:rPr>
        <w:t>.</w:t>
      </w:r>
      <w:r w:rsidR="000C10A8" w:rsidRPr="008F50F9">
        <w:rPr>
          <w:rFonts w:eastAsia="Calibri Light" w:cstheme="majorBidi"/>
          <w:sz w:val="21"/>
          <w:szCs w:val="21"/>
        </w:rPr>
        <w:t xml:space="preserve"> </w:t>
      </w:r>
      <w:r>
        <w:rPr>
          <w:rFonts w:eastAsia="Calibri Light" w:cstheme="majorBidi"/>
          <w:sz w:val="21"/>
          <w:szCs w:val="21"/>
        </w:rPr>
        <w:t>FB</w:t>
      </w:r>
      <w:r w:rsidR="0040484C">
        <w:rPr>
          <w:rFonts w:eastAsia="Calibri Light" w:cstheme="majorBidi" w:hint="cs"/>
          <w:sz w:val="21"/>
          <w:szCs w:val="21"/>
          <w:rtl/>
        </w:rPr>
        <w:t>T</w:t>
      </w:r>
      <w:r w:rsidR="00F02368">
        <w:rPr>
          <w:rFonts w:eastAsia="Calibri Light" w:cstheme="majorBidi"/>
          <w:sz w:val="21"/>
          <w:szCs w:val="21"/>
        </w:rPr>
        <w:t>,</w:t>
      </w:r>
      <w:r w:rsidR="00F02368" w:rsidRPr="00F02368">
        <w:rPr>
          <w:rFonts w:eastAsia="Calibri Light" w:cstheme="majorBidi"/>
          <w:sz w:val="21"/>
          <w:szCs w:val="21"/>
        </w:rPr>
        <w:t xml:space="preserve"> </w:t>
      </w:r>
      <w:r>
        <w:rPr>
          <w:rFonts w:eastAsia="Calibri Light" w:cstheme="majorBidi"/>
          <w:sz w:val="21"/>
          <w:szCs w:val="21"/>
        </w:rPr>
        <w:t>AFM</w:t>
      </w:r>
      <w:r w:rsidR="00F02368" w:rsidRPr="00F02368">
        <w:rPr>
          <w:rFonts w:eastAsia="Calibri Light" w:cstheme="majorBidi"/>
          <w:sz w:val="21"/>
          <w:szCs w:val="21"/>
        </w:rPr>
        <w:t xml:space="preserve"> </w:t>
      </w:r>
      <w:r w:rsidR="00EF70C7" w:rsidRPr="008F50F9">
        <w:rPr>
          <w:rFonts w:eastAsia="Calibri Light" w:cstheme="majorBidi"/>
          <w:sz w:val="21"/>
          <w:szCs w:val="21"/>
        </w:rPr>
        <w:t xml:space="preserve">and </w:t>
      </w:r>
      <w:r>
        <w:rPr>
          <w:rFonts w:eastAsia="Calibri Light" w:cstheme="majorBidi"/>
          <w:sz w:val="21"/>
          <w:szCs w:val="21"/>
        </w:rPr>
        <w:t>OHS</w:t>
      </w:r>
      <w:r w:rsidR="00CE2509" w:rsidRPr="008F50F9">
        <w:rPr>
          <w:rFonts w:eastAsia="Calibri Light" w:cstheme="majorBidi"/>
          <w:sz w:val="21"/>
          <w:szCs w:val="21"/>
        </w:rPr>
        <w:t xml:space="preserve">; </w:t>
      </w:r>
      <w:r w:rsidR="00EF70C7" w:rsidRPr="008F50F9">
        <w:rPr>
          <w:rFonts w:eastAsia="Calibri Light" w:cstheme="majorBidi"/>
          <w:sz w:val="21"/>
          <w:szCs w:val="21"/>
        </w:rPr>
        <w:t xml:space="preserve">Writing - review &amp; editing. </w:t>
      </w:r>
      <w:r w:rsidR="00CE2509" w:rsidRPr="008F50F9">
        <w:rPr>
          <w:rFonts w:eastAsia="Calibri Light" w:cstheme="majorBidi"/>
          <w:sz w:val="21"/>
          <w:szCs w:val="21"/>
        </w:rPr>
        <w:t xml:space="preserve">Supervision; </w:t>
      </w:r>
      <w:r>
        <w:rPr>
          <w:rFonts w:eastAsia="Calibri Light" w:cstheme="majorBidi"/>
          <w:sz w:val="21"/>
          <w:szCs w:val="21"/>
        </w:rPr>
        <w:t>FB</w:t>
      </w:r>
      <w:r w:rsidR="0040484C">
        <w:rPr>
          <w:rFonts w:eastAsia="Calibri Light" w:cstheme="majorBidi" w:hint="cs"/>
          <w:sz w:val="21"/>
          <w:szCs w:val="21"/>
          <w:rtl/>
        </w:rPr>
        <w:t>T</w:t>
      </w:r>
      <w:r w:rsidR="00F02368" w:rsidRPr="00F02368">
        <w:rPr>
          <w:rFonts w:eastAsia="Calibri Light" w:cstheme="majorBidi"/>
          <w:sz w:val="21"/>
          <w:szCs w:val="21"/>
        </w:rPr>
        <w:t xml:space="preserve"> </w:t>
      </w:r>
      <w:r w:rsidR="00CE2509" w:rsidRPr="008F50F9">
        <w:rPr>
          <w:rFonts w:eastAsia="Calibri Light" w:cstheme="majorBidi"/>
          <w:sz w:val="21"/>
          <w:szCs w:val="21"/>
        </w:rPr>
        <w:t xml:space="preserve">and </w:t>
      </w:r>
      <w:r>
        <w:rPr>
          <w:rFonts w:eastAsia="Calibri Light" w:cstheme="majorBidi"/>
          <w:sz w:val="21"/>
          <w:szCs w:val="21"/>
        </w:rPr>
        <w:t>OHS</w:t>
      </w:r>
      <w:r w:rsidR="00CE2509" w:rsidRPr="008F50F9">
        <w:rPr>
          <w:rFonts w:eastAsia="Calibri Light" w:cstheme="majorBidi"/>
          <w:sz w:val="21"/>
          <w:szCs w:val="21"/>
        </w:rPr>
        <w:t xml:space="preserve">. </w:t>
      </w:r>
      <w:r w:rsidR="000C10A8" w:rsidRPr="008F50F9">
        <w:rPr>
          <w:rFonts w:eastAsia="Calibri Light" w:cstheme="majorBidi"/>
          <w:sz w:val="21"/>
          <w:szCs w:val="21"/>
        </w:rPr>
        <w:t>All authors reviewed the results and approved the final version of the manuscript</w:t>
      </w:r>
      <w:r w:rsidR="00CE2509" w:rsidRPr="008F50F9">
        <w:rPr>
          <w:rFonts w:eastAsia="Calibri Light" w:cstheme="majorBidi"/>
          <w:sz w:val="21"/>
          <w:szCs w:val="21"/>
        </w:rPr>
        <w:t xml:space="preserve"> to be published</w:t>
      </w:r>
      <w:r w:rsidR="000C10A8" w:rsidRPr="008F50F9">
        <w:rPr>
          <w:rFonts w:eastAsia="Calibri Light" w:cstheme="majorBidi"/>
          <w:sz w:val="21"/>
          <w:szCs w:val="21"/>
        </w:rPr>
        <w:t>.</w:t>
      </w:r>
    </w:p>
    <w:p w14:paraId="567CAEE2" w14:textId="77777777" w:rsidR="0060021B" w:rsidRPr="0060021B" w:rsidRDefault="0060021B" w:rsidP="00B272FE">
      <w:pPr>
        <w:pStyle w:val="Body"/>
        <w:spacing w:before="240" w:after="60" w:line="240" w:lineRule="atLeast"/>
        <w:ind w:left="0" w:right="543" w:firstLine="720"/>
        <w:rPr>
          <w:rFonts w:cstheme="majorBidi"/>
          <w:b/>
          <w:bCs/>
          <w:lang w:val="it-IT"/>
        </w:rPr>
      </w:pPr>
      <w:r w:rsidRPr="00D511C3">
        <w:rPr>
          <w:rFonts w:cstheme="majorBidi"/>
          <w:b/>
          <w:bCs/>
          <w:lang w:val="it-IT"/>
        </w:rPr>
        <w:t>Acknoledgement</w:t>
      </w:r>
      <w:r>
        <w:rPr>
          <w:rFonts w:cstheme="majorBidi"/>
          <w:b/>
          <w:bCs/>
          <w:lang w:val="it-IT"/>
        </w:rPr>
        <w:t xml:space="preserve"> and </w:t>
      </w:r>
      <w:r>
        <w:rPr>
          <w:rFonts w:eastAsia="Calibri Light" w:cstheme="majorBidi"/>
          <w:b/>
          <w:bCs/>
          <w:sz w:val="21"/>
          <w:szCs w:val="21"/>
        </w:rPr>
        <w:t>f</w:t>
      </w:r>
      <w:r w:rsidRPr="00D511C3">
        <w:rPr>
          <w:rFonts w:eastAsia="Calibri Light" w:cstheme="majorBidi"/>
          <w:b/>
          <w:bCs/>
          <w:sz w:val="21"/>
          <w:szCs w:val="21"/>
        </w:rPr>
        <w:t>unding</w:t>
      </w:r>
    </w:p>
    <w:p w14:paraId="5314DB4D" w14:textId="42F0C958" w:rsidR="005E3940" w:rsidRPr="00AA7A58" w:rsidRDefault="00CC3469" w:rsidP="00B272FE">
      <w:pPr>
        <w:pStyle w:val="Body"/>
        <w:spacing w:before="240" w:after="60" w:line="240" w:lineRule="atLeast"/>
        <w:ind w:right="543" w:firstLine="0"/>
        <w:rPr>
          <w:rFonts w:cstheme="majorBidi"/>
          <w:lang w:val="it-IT"/>
        </w:rPr>
      </w:pPr>
      <w:r w:rsidRPr="00CC3469">
        <w:rPr>
          <w:rFonts w:cstheme="majorBidi"/>
          <w:lang w:val="it-IT"/>
        </w:rPr>
        <w:t xml:space="preserve">There was no external support for this study. </w:t>
      </w:r>
    </w:p>
    <w:p w14:paraId="63F34E3D" w14:textId="7B2F8689" w:rsidR="000B02A4" w:rsidRPr="000B02A4" w:rsidRDefault="000B02A4" w:rsidP="00B272FE">
      <w:pPr>
        <w:pStyle w:val="Body"/>
        <w:spacing w:before="240" w:after="60" w:line="240" w:lineRule="atLeast"/>
        <w:ind w:right="543" w:firstLine="0"/>
        <w:rPr>
          <w:rFonts w:eastAsia="Calibri Light" w:cstheme="majorBidi"/>
          <w:b/>
          <w:bCs/>
          <w:sz w:val="21"/>
          <w:szCs w:val="21"/>
        </w:rPr>
      </w:pPr>
      <w:r w:rsidRPr="000B02A4">
        <w:rPr>
          <w:rFonts w:eastAsia="Calibri Light" w:cstheme="majorBidi"/>
          <w:b/>
          <w:bCs/>
          <w:sz w:val="21"/>
          <w:szCs w:val="21"/>
        </w:rPr>
        <w:t>Informed consent</w:t>
      </w:r>
    </w:p>
    <w:p w14:paraId="4A82EFCC" w14:textId="77777777" w:rsidR="00B30BDB" w:rsidRDefault="000B02A4" w:rsidP="00B272FE">
      <w:pPr>
        <w:pStyle w:val="Body"/>
        <w:spacing w:before="240" w:after="60" w:line="240" w:lineRule="atLeast"/>
        <w:ind w:right="543" w:firstLine="0"/>
        <w:rPr>
          <w:rFonts w:eastAsia="Calibri Light" w:cstheme="majorBidi"/>
          <w:sz w:val="21"/>
          <w:szCs w:val="21"/>
        </w:rPr>
      </w:pPr>
      <w:r w:rsidRPr="000B02A4">
        <w:rPr>
          <w:rFonts w:eastAsia="Calibri Light" w:cstheme="majorBidi"/>
          <w:sz w:val="21"/>
          <w:szCs w:val="21"/>
        </w:rPr>
        <w:t xml:space="preserve">Informed consent </w:t>
      </w:r>
      <w:r>
        <w:rPr>
          <w:rFonts w:eastAsia="Calibri Light" w:cstheme="majorBidi"/>
          <w:sz w:val="21"/>
          <w:szCs w:val="21"/>
        </w:rPr>
        <w:t>was</w:t>
      </w:r>
      <w:r w:rsidRPr="000B02A4">
        <w:rPr>
          <w:rFonts w:eastAsia="Calibri Light" w:cstheme="majorBidi"/>
          <w:sz w:val="21"/>
          <w:szCs w:val="21"/>
        </w:rPr>
        <w:t xml:space="preserve"> obtained from all individuals </w:t>
      </w:r>
      <w:r>
        <w:rPr>
          <w:rFonts w:eastAsia="Calibri Light" w:cstheme="majorBidi"/>
          <w:sz w:val="21"/>
          <w:szCs w:val="21"/>
        </w:rPr>
        <w:t xml:space="preserve">or their guardians </w:t>
      </w:r>
      <w:r w:rsidRPr="000B02A4">
        <w:rPr>
          <w:rFonts w:eastAsia="Calibri Light" w:cstheme="majorBidi"/>
          <w:sz w:val="21"/>
          <w:szCs w:val="21"/>
        </w:rPr>
        <w:t>included in this study</w:t>
      </w:r>
      <w:r w:rsidR="0060021B">
        <w:rPr>
          <w:rFonts w:eastAsia="Calibri Light" w:cstheme="majorBidi"/>
          <w:sz w:val="21"/>
          <w:szCs w:val="21"/>
        </w:rPr>
        <w:t>.</w:t>
      </w:r>
    </w:p>
    <w:p w14:paraId="29C10867" w14:textId="316D55D7" w:rsidR="004910D1" w:rsidRPr="002251F3" w:rsidRDefault="009201F7" w:rsidP="00B272FE">
      <w:pPr>
        <w:pStyle w:val="Body"/>
        <w:spacing w:before="240" w:after="60" w:line="240" w:lineRule="atLeast"/>
        <w:ind w:left="709" w:right="543" w:firstLine="0"/>
        <w:rPr>
          <w:rFonts w:eastAsia="Calibri Light" w:cstheme="majorBidi"/>
          <w:sz w:val="21"/>
          <w:szCs w:val="21"/>
        </w:rPr>
      </w:pPr>
      <w:r w:rsidRPr="00F02368">
        <w:rPr>
          <w:b/>
          <w:bCs/>
        </w:rPr>
        <w:t>References</w:t>
      </w:r>
    </w:p>
    <w:p w14:paraId="37C4A64B" w14:textId="2C48E609"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Hajishengallis</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G, Lamont RJ. Breaking bad: Manipulation of the host response by Porphyromonas gingivalis.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Eur</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J Immunol. 2014;44(2):328-38. </w:t>
      </w:r>
      <w:hyperlink r:id="rId25" w:history="1">
        <w:r w:rsidRPr="00E816E4">
          <w:rPr>
            <w:rStyle w:val="Hyperlink"/>
            <w:rFonts w:eastAsia="Arial Unicode MS"/>
            <w:sz w:val="16"/>
            <w:szCs w:val="16"/>
            <w14:textOutline w14:w="0" w14:cap="flat" w14:cmpd="sng" w14:algn="ctr">
              <w14:noFill/>
              <w14:prstDash w14:val="solid"/>
              <w14:bevel/>
            </w14:textOutline>
          </w:rPr>
          <w:t>https://doi.org/10.1002/eji.201344202</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53837BBB" w14:textId="26035CAA"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Hajishengallis</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G,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Lambris</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JD. Microbial manipulation of receptor crosstalk in innate immunity. Nat Rev Immunol. 2011;11(3):187-200. </w:t>
      </w:r>
      <w:hyperlink r:id="rId26" w:history="1">
        <w:r w:rsidRPr="00E816E4">
          <w:rPr>
            <w:rStyle w:val="Hyperlink"/>
            <w:rFonts w:eastAsia="Arial Unicode MS"/>
            <w:sz w:val="16"/>
            <w:szCs w:val="16"/>
            <w14:textOutline w14:w="0" w14:cap="flat" w14:cmpd="sng" w14:algn="ctr">
              <w14:noFill/>
              <w14:prstDash w14:val="solid"/>
              <w14:bevel/>
            </w14:textOutline>
          </w:rPr>
          <w:t>https://doi.org/10.1038/nri2918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41F88C2E" w14:textId="493D8E90"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lastRenderedPageBreak/>
        <w:t xml:space="preserve">Zhou Q, Leeman SE, Amar S. Signaling mechanisms in the restoration of impaired immune function due to diet-induced obesity. Proc Natl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Acad</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Sci U S A. 2011; 108(7):2867-72. </w:t>
      </w:r>
      <w:hyperlink r:id="rId27" w:history="1">
        <w:r w:rsidRPr="00E816E4">
          <w:rPr>
            <w:rStyle w:val="Hyperlink"/>
            <w:rFonts w:eastAsia="Arial Unicode MS"/>
            <w:sz w:val="16"/>
            <w:szCs w:val="16"/>
            <w14:textOutline w14:w="0" w14:cap="flat" w14:cmpd="sng" w14:algn="ctr">
              <w14:noFill/>
              <w14:prstDash w14:val="solid"/>
              <w14:bevel/>
            </w14:textOutline>
          </w:rPr>
          <w:t>https://doi.org/10.1073/pnas.1019270108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7557E2CB" w14:textId="3A9C4522"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Sanz M, Herrera D, Kebschull M, Chapple I, Jepsen S,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Beglundh</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T, et al. EFP Workshop Participants and Methodological Consultants. Treatment of stage I-III periodontitis-The EFP S3 level clinical practice guideline. J Clin Periodontol. 2020; 47 Suppl 22:4-60. </w:t>
      </w:r>
      <w:hyperlink r:id="rId28" w:history="1">
        <w:r w:rsidRPr="00E816E4">
          <w:rPr>
            <w:rStyle w:val="Hyperlink"/>
            <w:rFonts w:eastAsia="Arial Unicode MS"/>
            <w:sz w:val="16"/>
            <w:szCs w:val="16"/>
            <w14:textOutline w14:w="0" w14:cap="flat" w14:cmpd="sng" w14:algn="ctr">
              <w14:noFill/>
              <w14:prstDash w14:val="solid"/>
              <w14:bevel/>
            </w14:textOutline>
          </w:rPr>
          <w:t>https://doi.org/10.1111/jcpe.13290</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136E5E52" w14:textId="45CF6D6B"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Herrera D, van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Winkelhoff</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AJ,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Matesanz</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P, Lauwens K,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Teughels</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W. Europe's contribution to the evaluation of the use of systemic antimicrobials in the treatment of periodontitis.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Periodontol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2000.2023;00:1-28. </w:t>
      </w:r>
      <w:hyperlink r:id="rId29" w:history="1">
        <w:r w:rsidRPr="00E816E4">
          <w:rPr>
            <w:rStyle w:val="Hyperlink"/>
            <w:rFonts w:eastAsia="Arial Unicode MS"/>
            <w:sz w:val="16"/>
            <w:szCs w:val="16"/>
            <w14:textOutline w14:w="0" w14:cap="flat" w14:cmpd="sng" w14:algn="ctr">
              <w14:noFill/>
              <w14:prstDash w14:val="solid"/>
              <w14:bevel/>
            </w14:textOutline>
          </w:rPr>
          <w:t>https://doi.org/10.1111/prd.12492</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2E396EDF" w14:textId="40CE07E1"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Walker CB. The acquisition of antibiotic resistance in the periodontal microflora.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Periodontol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2000. 1996; 10:79-88. </w:t>
      </w:r>
      <w:hyperlink r:id="rId30" w:history="1">
        <w:r w:rsidRPr="00E816E4">
          <w:rPr>
            <w:rStyle w:val="Hyperlink"/>
            <w:rFonts w:eastAsia="Arial Unicode MS"/>
            <w:sz w:val="16"/>
            <w:szCs w:val="16"/>
            <w14:textOutline w14:w="0" w14:cap="flat" w14:cmpd="sng" w14:algn="ctr">
              <w14:noFill/>
              <w14:prstDash w14:val="solid"/>
              <w14:bevel/>
            </w14:textOutline>
          </w:rPr>
          <w:t>https://doi.org/10.1111/j.1600-0757.1996.tb00069.x</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3CE83306" w14:textId="36DCEBF4"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Feres M, Retamal-Valdes B,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Fermiano</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D,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Faveri</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M, Figueiredo LC, Mayer MP, et al. Microbiome changes in young periodontitis patients treated with adjunctive metronidazole and amoxicillin. J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Periodontol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2021;92(4):467-78. </w:t>
      </w:r>
      <w:hyperlink r:id="rId31" w:history="1">
        <w:r w:rsidRPr="00E816E4">
          <w:rPr>
            <w:rStyle w:val="Hyperlink"/>
            <w:rFonts w:eastAsia="Arial Unicode MS"/>
            <w:sz w:val="16"/>
            <w:szCs w:val="16"/>
            <w14:textOutline w14:w="0" w14:cap="flat" w14:cmpd="sng" w14:algn="ctr">
              <w14:noFill/>
              <w14:prstDash w14:val="solid"/>
              <w14:bevel/>
            </w14:textOutline>
          </w:rPr>
          <w:t>https://doi.org/10.1002/JPER.20-0128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5DF92E30" w14:textId="060EB534"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Thomas RE, Sautter JD, van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Winkelhoff</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AJ. "Emergence of Antibiotic-Resistant Porphyromonas gingivalis in United States Periodontitis Patients" Antibiotics 2023;12(11):1584. </w:t>
      </w:r>
      <w:hyperlink r:id="rId32" w:history="1">
        <w:r w:rsidRPr="00E816E4">
          <w:rPr>
            <w:rStyle w:val="Hyperlink"/>
            <w:rFonts w:eastAsia="Arial Unicode MS"/>
            <w:sz w:val="16"/>
            <w:szCs w:val="16"/>
            <w14:textOutline w14:w="0" w14:cap="flat" w14:cmpd="sng" w14:algn="ctr">
              <w14:noFill/>
              <w14:prstDash w14:val="solid"/>
              <w14:bevel/>
            </w14:textOutline>
          </w:rPr>
          <w:t>https://doi.org/10.3390/antibiotics12111584</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213B4689" w14:textId="7D4A4DE6"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Mitea G, Schröder V, Iancu IM. Bioactive Plant-Derived Compounds as Novel Perspectives in Oral Cancer Alternative Therapy. Pharmaceuticals. 2025;18(8):1098. </w:t>
      </w:r>
      <w:hyperlink r:id="rId33" w:history="1">
        <w:r w:rsidRPr="00E816E4">
          <w:rPr>
            <w:rStyle w:val="Hyperlink"/>
            <w:rFonts w:eastAsia="Arial Unicode MS"/>
            <w:sz w:val="16"/>
            <w:szCs w:val="16"/>
            <w14:textOutline w14:w="0" w14:cap="flat" w14:cmpd="sng" w14:algn="ctr">
              <w14:noFill/>
              <w14:prstDash w14:val="solid"/>
              <w14:bevel/>
            </w14:textOutline>
          </w:rPr>
          <w:t>https://doi.org/10.3390/ph18081098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70213CE0" w14:textId="69B32441"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Luepke KH, Suda KJ, Boucher H, Russo RL, Bonney MW, Hunt TD, et al 3rd. Past, Present, and Future of Antibacterial Economics: Increasing Bacterial Resistance, Limited Antibiotic Pipeline, and Societal Implications. Pharmacotherapy. 2017; 37(1):71-84. </w:t>
      </w:r>
      <w:hyperlink r:id="rId34" w:history="1">
        <w:r w:rsidRPr="00E816E4">
          <w:rPr>
            <w:rStyle w:val="Hyperlink"/>
            <w:rFonts w:eastAsia="Arial Unicode MS"/>
            <w:sz w:val="16"/>
            <w:szCs w:val="16"/>
            <w14:textOutline w14:w="0" w14:cap="flat" w14:cmpd="sng" w14:algn="ctr">
              <w14:noFill/>
              <w14:prstDash w14:val="solid"/>
              <w14:bevel/>
            </w14:textOutline>
          </w:rPr>
          <w:t>https://doi.org/10.1002/phar.1868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2A69BA50" w14:textId="6E1CF53C"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Jwa SK. Efficacy of Moringa oleifera Leaf Extracts against Cariogenic Biofilm. Prev Nutr Food Sci. 2019;24(3):308-12. </w:t>
      </w:r>
      <w:hyperlink r:id="rId35" w:history="1">
        <w:r w:rsidRPr="00E816E4">
          <w:rPr>
            <w:rStyle w:val="Hyperlink"/>
            <w:rFonts w:eastAsia="Arial Unicode MS"/>
            <w:sz w:val="16"/>
            <w:szCs w:val="16"/>
            <w14:textOutline w14:w="0" w14:cap="flat" w14:cmpd="sng" w14:algn="ctr">
              <w14:noFill/>
              <w14:prstDash w14:val="solid"/>
              <w14:bevel/>
            </w14:textOutline>
          </w:rPr>
          <w:t>https://doi.org/10.3746/pnf.2019.24.3.308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42938B82" w14:textId="77777777"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Papapanou</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PN, Sanz M,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Buduneli</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N, Dietrich T, Feres M, Fine DH, et al. Periodontitis: Consensus report of workgroup 2 of the 2017 World Workshop on the Classification of Periodontal and Peri-Implant Diseases and Conditions. J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Periodontol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2018; 89 Suppl 1:S173-S182.</w:t>
      </w:r>
    </w:p>
    <w:p w14:paraId="283180E3" w14:textId="77777777"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Faisal Madhloom A, Bashir Hashim Al-Taweel F, Sha A, Raad Abdulbaqi H. Antimicrobial Effect of Moringa Oleifera L. and Red Pomegranate against Clinically Isolated Porphyromonas gingivalis: in vitro Study. Arch Razi Inst. 2022;77(4):1405-1419.</w:t>
      </w:r>
    </w:p>
    <w:p w14:paraId="091D7746" w14:textId="77777777"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Gebhardt N. Fluorescence in Situ Hybridization (fish): Application Guide. Berlin: Springer; 2010.</w:t>
      </w:r>
    </w:p>
    <w:p w14:paraId="6F7968D5" w14:textId="049366EE"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Sakamoto M, Takeuchi Y, Umeda M, Ishikawa I, Benno Y. Rapid detection and quantification of five periodontopathic bacteria by real‐time PCR.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Microbiol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Immunol. 2001;45(1):39-44. </w:t>
      </w:r>
      <w:hyperlink r:id="rId36" w:history="1">
        <w:r w:rsidRPr="00E816E4">
          <w:rPr>
            <w:rStyle w:val="Hyperlink"/>
            <w:rFonts w:eastAsia="Arial Unicode MS"/>
            <w:sz w:val="16"/>
            <w:szCs w:val="16"/>
            <w14:textOutline w14:w="0" w14:cap="flat" w14:cmpd="sng" w14:algn="ctr">
              <w14:noFill/>
              <w14:prstDash w14:val="solid"/>
              <w14:bevel/>
            </w14:textOutline>
          </w:rPr>
          <w:t>https://doi.org/10.1111/j.1348-0421.2001.tb01272.x</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224A46E1" w14:textId="1DF8F65E"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Seidel V. Initial and bulk extraction of natural products isolation. In: Sarker SD, Nahar L, editors. Natural Products Isolation. New York: Humana Press; 2012</w:t>
      </w:r>
      <w:r w:rsidR="004278EB">
        <w:rPr>
          <w:rStyle w:val="Hyperlink"/>
          <w:rFonts w:eastAsia="Arial Unicode MS"/>
          <w:color w:val="000000"/>
          <w:sz w:val="16"/>
          <w:szCs w:val="16"/>
          <w:u w:val="none"/>
          <w14:textOutline w14:w="0" w14:cap="flat" w14:cmpd="sng" w14:algn="ctr">
            <w14:noFill/>
            <w14:prstDash w14:val="solid"/>
            <w14:bevel/>
          </w14:textOutline>
        </w:rPr>
        <w:t>:</w:t>
      </w:r>
      <w:r w:rsidRPr="00E816E4">
        <w:rPr>
          <w:rStyle w:val="Hyperlink"/>
          <w:rFonts w:eastAsia="Arial Unicode MS"/>
          <w:color w:val="000000"/>
          <w:sz w:val="16"/>
          <w:szCs w:val="16"/>
          <w:u w:val="none"/>
          <w14:textOutline w14:w="0" w14:cap="flat" w14:cmpd="sng" w14:algn="ctr">
            <w14:noFill/>
            <w14:prstDash w14:val="solid"/>
            <w14:bevel/>
          </w14:textOutline>
        </w:rPr>
        <w:t xml:space="preserve">27-41. </w:t>
      </w:r>
      <w:hyperlink r:id="rId37" w:history="1">
        <w:r w:rsidRPr="00E816E4">
          <w:rPr>
            <w:rStyle w:val="Hyperlink"/>
            <w:rFonts w:eastAsia="Arial Unicode MS"/>
            <w:sz w:val="16"/>
            <w:szCs w:val="16"/>
            <w14:textOutline w14:w="0" w14:cap="flat" w14:cmpd="sng" w14:algn="ctr">
              <w14:noFill/>
              <w14:prstDash w14:val="solid"/>
              <w14:bevel/>
            </w14:textOutline>
          </w:rPr>
          <w:t>https://doi.org/10.1007/978-1-61779-624-1_2</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122CFC1B" w14:textId="73103855"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Lorenzo M, Pico Y. Gas chromatography and mass spectroscopy techniques for the detection of chemical contaminants and residues in foods. In Chemical contaminants and residues in food. 2017;15-50. </w:t>
      </w:r>
      <w:hyperlink r:id="rId38" w:history="1">
        <w:r w:rsidRPr="00E816E4">
          <w:rPr>
            <w:rStyle w:val="Hyperlink"/>
            <w:rFonts w:eastAsia="Arial Unicode MS"/>
            <w:sz w:val="16"/>
            <w:szCs w:val="16"/>
            <w14:textOutline w14:w="0" w14:cap="flat" w14:cmpd="sng" w14:algn="ctr">
              <w14:noFill/>
              <w14:prstDash w14:val="solid"/>
              <w14:bevel/>
            </w14:textOutline>
          </w:rPr>
          <w:t>https://doi.org/10.1016/B978-0-08-100674-0.00002-3</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35298150" w14:textId="086F707C"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Elleuch</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L, Shaaban M,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Smaoui</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S,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Mellouli</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L,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Karray</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-Rebai I, Fourati-Ben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Fguira</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L, et al. Bioactive secondary metabolites from a new terrestrial Streptomyces sp. TN262. Appl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Biochem</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Biotechnol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2010;162(2):579-93. </w:t>
      </w:r>
      <w:hyperlink r:id="rId39" w:history="1">
        <w:r w:rsidRPr="00E816E4">
          <w:rPr>
            <w:rStyle w:val="Hyperlink"/>
            <w:rFonts w:eastAsia="Arial Unicode MS"/>
            <w:sz w:val="16"/>
            <w:szCs w:val="16"/>
            <w14:textOutline w14:w="0" w14:cap="flat" w14:cmpd="sng" w14:algn="ctr">
              <w14:noFill/>
              <w14:prstDash w14:val="solid"/>
              <w14:bevel/>
            </w14:textOutline>
          </w:rPr>
          <w:t>https://doi.org/10.1007/s12010-009-8808-4</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3B86A2BE" w14:textId="4331808C"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Akinduti</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PA,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Emoh</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-Robinson V,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Obamoh</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-Triumphant HF, Obafemi YD, Banjo TT. Antibacterial activities of plant leaf extracts against multi-antibiotic resistant Staphylococcus aureus associated with skin and soft tissue infections. BMC Complement Med Ther. 2022;22(1):47. </w:t>
      </w:r>
      <w:hyperlink r:id="rId40" w:history="1">
        <w:r w:rsidRPr="00E816E4">
          <w:rPr>
            <w:rStyle w:val="Hyperlink"/>
            <w:rFonts w:eastAsia="Arial Unicode MS"/>
            <w:sz w:val="16"/>
            <w:szCs w:val="16"/>
            <w14:textOutline w14:w="0" w14:cap="flat" w14:cmpd="sng" w14:algn="ctr">
              <w14:noFill/>
              <w14:prstDash w14:val="solid"/>
              <w14:bevel/>
            </w14:textOutline>
          </w:rPr>
          <w:t>https://doi.org/10.1186/s12906-022-03527-y</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31B30ED8" w14:textId="237C3BE2"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Kimaro E,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Yusto</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E, Mohamed A, Silago V, Damiano P, Hamasaki K, et al. Quality equivalence and in-vitro antibiotic activity test of different brands of amoxicillin/clavulanic acid tablets in Mwanza, Tanzania: A cross sectional study.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Heliyon</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2023;10(1):e23418. </w:t>
      </w:r>
      <w:hyperlink r:id="rId41" w:history="1">
        <w:r w:rsidRPr="00E816E4">
          <w:rPr>
            <w:rStyle w:val="Hyperlink"/>
            <w:rFonts w:eastAsia="Arial Unicode MS"/>
            <w:sz w:val="16"/>
            <w:szCs w:val="16"/>
            <w14:textOutline w14:w="0" w14:cap="flat" w14:cmpd="sng" w14:algn="ctr">
              <w14:noFill/>
              <w14:prstDash w14:val="solid"/>
              <w14:bevel/>
            </w14:textOutline>
          </w:rPr>
          <w:t>https://doi.org/10.1016/j.heliyon.2023.e23418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5F51A41C" w14:textId="369BD41B"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Matuschek E, Copsey-Mawer S, Petersson S, Åhman J, Morris TE,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Kahlmeter</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G. The European committee on antimicrobial susceptibility testing disc diffusion susceptibility testing method for frequently isolated anaerobic bacteria. Clin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Microbiol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Infect. 2023;29(6):795.e1-795.e7. </w:t>
      </w:r>
      <w:hyperlink r:id="rId42" w:history="1">
        <w:r w:rsidRPr="00E816E4">
          <w:rPr>
            <w:rStyle w:val="Hyperlink"/>
            <w:rFonts w:eastAsia="Arial Unicode MS"/>
            <w:sz w:val="16"/>
            <w:szCs w:val="16"/>
            <w14:textOutline w14:w="0" w14:cap="flat" w14:cmpd="sng" w14:algn="ctr">
              <w14:noFill/>
              <w14:prstDash w14:val="solid"/>
              <w14:bevel/>
            </w14:textOutline>
          </w:rPr>
          <w:t>https://doi.org/10.1016/j.cmi.2023.01.027</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35120A48" w14:textId="2E2F6C57"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lastRenderedPageBreak/>
        <w:t xml:space="preserve">Saquib SA, AlQahtani NA, Ahmad I, Kader MA, Al Shahrani SS, Asiri EA. Evaluation and Comparison of Antibacterial Efficacy of Herbal Extracts in Combination with Antibiotics on Periodontal pathobionts: An in vitro Microbiological Study. Antibiotics (Basel). 2019; 8(3): 89. </w:t>
      </w:r>
      <w:hyperlink r:id="rId43" w:history="1">
        <w:r w:rsidRPr="00E816E4">
          <w:rPr>
            <w:rStyle w:val="Hyperlink"/>
            <w:rFonts w:eastAsia="Arial Unicode MS"/>
            <w:sz w:val="16"/>
            <w:szCs w:val="16"/>
            <w14:textOutline w14:w="0" w14:cap="flat" w14:cmpd="sng" w14:algn="ctr">
              <w14:noFill/>
              <w14:prstDash w14:val="solid"/>
              <w14:bevel/>
            </w14:textOutline>
          </w:rPr>
          <w:t>https://doi.org/10.3390/antibiotics8030089</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72931444" w14:textId="73D74C02"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Wunsch CM, Lewis JP. Porphyromonas gingivalis as a model organism for assessing interaction of anaerobic Bacteria with host cells. J Vis Exp. 2015(106):e53408. </w:t>
      </w:r>
      <w:hyperlink r:id="rId44" w:history="1">
        <w:r w:rsidRPr="00E816E4">
          <w:rPr>
            <w:rStyle w:val="Hyperlink"/>
            <w:rFonts w:eastAsia="Arial Unicode MS"/>
            <w:sz w:val="16"/>
            <w:szCs w:val="16"/>
            <w14:textOutline w14:w="0" w14:cap="flat" w14:cmpd="sng" w14:algn="ctr">
              <w14:noFill/>
              <w14:prstDash w14:val="solid"/>
              <w14:bevel/>
            </w14:textOutline>
          </w:rPr>
          <w:t>https://doi.org/10.3791/53408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58D5B2A7" w14:textId="77777777"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Cavalieri S, Harbeck R, McCarter Y, Ortez J, Rankin I, Sautter R, et al. Manual of antimicrobial susceptibility testing. Washington, DC: American Society for Microbiology; 2005.</w:t>
      </w:r>
    </w:p>
    <w:p w14:paraId="1EC968A1" w14:textId="4AC6A669"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Mathur T, Singhal S, Khan S, Upadhyay D, Fatma T, Rattan A. Detection of biofilm formation among the clinical isolates of staphylococci: an evaluation of three different screening methods. Indian J Med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Microbiol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2006;24(1):25-9. </w:t>
      </w:r>
      <w:hyperlink r:id="rId45" w:history="1">
        <w:r w:rsidRPr="00E816E4">
          <w:rPr>
            <w:rStyle w:val="Hyperlink"/>
            <w:rFonts w:eastAsia="Arial Unicode MS"/>
            <w:sz w:val="16"/>
            <w:szCs w:val="16"/>
            <w14:textOutline w14:w="0" w14:cap="flat" w14:cmpd="sng" w14:algn="ctr">
              <w14:noFill/>
              <w14:prstDash w14:val="solid"/>
              <w14:bevel/>
            </w14:textOutline>
          </w:rPr>
          <w:t>https://doi.org/10.1016/S0255-0857(21)02466-X</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719C581F" w14:textId="21EADA94"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Teles RP, Haffajee AD,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Socransky</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SS. Microbiological goals of periodontal therapy.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Periodontol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2000. 2006;42(1):180-218. </w:t>
      </w:r>
      <w:hyperlink r:id="rId46" w:history="1">
        <w:r w:rsidRPr="00E816E4">
          <w:rPr>
            <w:rStyle w:val="Hyperlink"/>
            <w:rFonts w:eastAsia="Arial Unicode MS"/>
            <w:sz w:val="16"/>
            <w:szCs w:val="16"/>
            <w14:textOutline w14:w="0" w14:cap="flat" w14:cmpd="sng" w14:algn="ctr">
              <w14:noFill/>
              <w14:prstDash w14:val="solid"/>
              <w14:bevel/>
            </w14:textOutline>
          </w:rPr>
          <w:t>https://doi.org/10.1111/j.1600-0757.2006.00192.x</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4F810DD2" w14:textId="796BA4BF"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Jervøe-Storm PM,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Alahdab</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H,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Koltzscher</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M,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Fimmers</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R, Jepsen S. Comparison of curet and paper point sampling of subgingival bacteria as analyzed by real-time polymerase chain reaction. J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Periodontol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2007 ;78(5):909-17. </w:t>
      </w:r>
      <w:hyperlink r:id="rId47" w:history="1">
        <w:r w:rsidRPr="00E816E4">
          <w:rPr>
            <w:rStyle w:val="Hyperlink"/>
            <w:rFonts w:eastAsia="Arial Unicode MS"/>
            <w:sz w:val="16"/>
            <w:szCs w:val="16"/>
            <w14:textOutline w14:w="0" w14:cap="flat" w14:cmpd="sng" w14:algn="ctr">
              <w14:noFill/>
              <w14:prstDash w14:val="solid"/>
              <w14:bevel/>
            </w14:textOutline>
          </w:rPr>
          <w:t>https://doi.org/10.1902/jop.2007.060218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4D1B6350" w14:textId="34B59AEB"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Belibasakis</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GN, Schmidlin PR,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Sahrmann</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P. Molecular microbiological evaluation of subgingival biofilm sampling by paper point and curette. APMIS. 2014 Apr;122(4):347-52. </w:t>
      </w:r>
      <w:hyperlink r:id="rId48" w:history="1">
        <w:r w:rsidRPr="00E816E4">
          <w:rPr>
            <w:rStyle w:val="Hyperlink"/>
            <w:rFonts w:eastAsia="Arial Unicode MS"/>
            <w:sz w:val="16"/>
            <w:szCs w:val="16"/>
            <w14:textOutline w14:w="0" w14:cap="flat" w14:cmpd="sng" w14:algn="ctr">
              <w14:noFill/>
              <w14:prstDash w14:val="solid"/>
              <w14:bevel/>
            </w14:textOutline>
          </w:rPr>
          <w:t>https://doi.org/10.1111/apm.12151</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036A85BF" w14:textId="3AF859C3"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Lee JE, Jayakody JTM, Kim JI, Jeong JW, Choi KM, Kim TS, et al. The Influence of Solvent Choice on the Extraction of Bioactive Compounds from Asteraceae: A Comparative Review. Foods. 2024;13(19):3151. </w:t>
      </w:r>
      <w:hyperlink r:id="rId49" w:history="1">
        <w:r w:rsidRPr="00E816E4">
          <w:rPr>
            <w:rStyle w:val="Hyperlink"/>
            <w:rFonts w:eastAsia="Arial Unicode MS"/>
            <w:sz w:val="16"/>
            <w:szCs w:val="16"/>
            <w14:textOutline w14:w="0" w14:cap="flat" w14:cmpd="sng" w14:algn="ctr">
              <w14:noFill/>
              <w14:prstDash w14:val="solid"/>
              <w14:bevel/>
            </w14:textOutline>
          </w:rPr>
          <w:t>https://doi.org/10.3390/foods13193151</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1382DADB" w14:textId="226A1A6D"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Liga S, Magyari-Pavel IZ, Avram Ș, Minda DI,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Vlase</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AM, Muntean D, et al. Comparative Analysis of Moringa oleifera Lam. Leaves Ethanolic Extracts: Effects of Extraction Methods on Phytochemicals, Antioxidant, Antimicrobial, and In Ovo Profile. Plants (Basel). 2025;14(11):1653. </w:t>
      </w:r>
      <w:hyperlink r:id="rId50" w:history="1">
        <w:r w:rsidRPr="00E816E4">
          <w:rPr>
            <w:rStyle w:val="Hyperlink"/>
            <w:rFonts w:eastAsia="Arial Unicode MS"/>
            <w:sz w:val="16"/>
            <w:szCs w:val="16"/>
            <w14:textOutline w14:w="0" w14:cap="flat" w14:cmpd="sng" w14:algn="ctr">
              <w14:noFill/>
              <w14:prstDash w14:val="solid"/>
              <w14:bevel/>
            </w14:textOutline>
          </w:rPr>
          <w:t>https://doi.org/10.3390/plants14111653</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7BD6712B" w14:textId="5A6C5B97"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Balouiri</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M, Sadiki M,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Ibnsouda</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SK. Methods for in vitro evaluating antimicrobial activity: A review. J Pharm Anal. 2016;6(2):71-79. </w:t>
      </w:r>
      <w:hyperlink r:id="rId51" w:history="1">
        <w:r w:rsidRPr="00E816E4">
          <w:rPr>
            <w:rStyle w:val="Hyperlink"/>
            <w:rFonts w:eastAsia="Arial Unicode MS"/>
            <w:sz w:val="16"/>
            <w:szCs w:val="16"/>
            <w14:textOutline w14:w="0" w14:cap="flat" w14:cmpd="sng" w14:algn="ctr">
              <w14:noFill/>
              <w14:prstDash w14:val="solid"/>
              <w14:bevel/>
            </w14:textOutline>
          </w:rPr>
          <w:t>https://doi.org/10.1016/j.jpha.2015.11.005</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2EABE38A" w14:textId="77777777"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Clinical and Laboratory Standards Institute (CLSI). Performance Standards for Antimicrobial Susceptibility Testing, 28th ed.; CLSI Supplement M100; Clinical and Laboratory Standards Institute: Wayne, PA, USA, 2018; ISBN1 978-1-68440-066-9. [Print]; ISBN2 978-1-68440-067-6.</w:t>
      </w:r>
    </w:p>
    <w:p w14:paraId="3FCCCFFD" w14:textId="109C97A1"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Naqid IA,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Balatay</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AA, Hussein NR, Ahmed HA, Saeed KA, Abdi SA. Bacterial strains and antimicrobial susceptibility patterns in male urinary tract infections in Duhok province, Iraq. Middle East J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Rehabil</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Health Stud. 2020;7(3):e103529. </w:t>
      </w:r>
      <w:hyperlink r:id="rId52" w:history="1">
        <w:r w:rsidRPr="00E816E4">
          <w:rPr>
            <w:rStyle w:val="Hyperlink"/>
            <w:rFonts w:eastAsia="Arial Unicode MS"/>
            <w:sz w:val="16"/>
            <w:szCs w:val="16"/>
            <w14:textOutline w14:w="0" w14:cap="flat" w14:cmpd="sng" w14:algn="ctr">
              <w14:noFill/>
              <w14:prstDash w14:val="solid"/>
              <w14:bevel/>
            </w14:textOutline>
          </w:rPr>
          <w:t>https://doi.org/10.5812/mejrh.103529</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02BE3BB3" w14:textId="193C05E1"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Al-Deen HS, Al-</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Ankoshy</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AAM, Al-</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Najhi</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M, Al-</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Kabsia</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T, AL-Haddad KA, Al-Akwa AAY, et al. Porphyromonas gingivalis: Biofilm formation, antimicrobial susceptibility of isolates from cases of Localized Aggressive Periodontitis (LAP).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Univers</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J Pharm Res. 2021;6(4):1-7. </w:t>
      </w:r>
      <w:hyperlink r:id="rId53" w:history="1">
        <w:r w:rsidRPr="00E816E4">
          <w:rPr>
            <w:rStyle w:val="Hyperlink"/>
            <w:rFonts w:eastAsia="Arial Unicode MS"/>
            <w:sz w:val="16"/>
            <w:szCs w:val="16"/>
            <w14:textOutline w14:w="0" w14:cap="flat" w14:cmpd="sng" w14:algn="ctr">
              <w14:noFill/>
              <w14:prstDash w14:val="solid"/>
              <w14:bevel/>
            </w14:textOutline>
          </w:rPr>
          <w:t>https://doi.org/10.22270/ujpr.v6i4.633</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3B141083" w14:textId="079F3CCA"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Olsen I, Chen T, Tribble GD Genetic exchange and reassignment in Porphyromonas gingivalis. Journal of Oral Microbiology. 2018; 10(1). </w:t>
      </w:r>
      <w:hyperlink r:id="rId54" w:history="1">
        <w:r w:rsidRPr="00E816E4">
          <w:rPr>
            <w:rStyle w:val="Hyperlink"/>
            <w:rFonts w:eastAsia="Arial Unicode MS"/>
            <w:sz w:val="16"/>
            <w:szCs w:val="16"/>
            <w14:textOutline w14:w="0" w14:cap="flat" w14:cmpd="sng" w14:algn="ctr">
              <w14:noFill/>
              <w14:prstDash w14:val="solid"/>
              <w14:bevel/>
            </w14:textOutline>
          </w:rPr>
          <w:t>https://doi.org/10.1080/20002297.2018.1457373</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668400EC" w14:textId="146B9DEB"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Attallah NGM, Negm WA,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Elekhnawy</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E,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Altwaijry</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N,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Elmongy</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EI, El-Masry TA, et al. Antibacterial Activity of Boswellia sacra Flueck. Oleoresin Extract against Porphyromonas gingivalis Periodontal Pathogen. Antibiotics (Basel). 2021;10(7):859. </w:t>
      </w:r>
      <w:hyperlink r:id="rId55" w:history="1">
        <w:r w:rsidRPr="00E816E4">
          <w:rPr>
            <w:rStyle w:val="Hyperlink"/>
            <w:rFonts w:eastAsia="Arial Unicode MS"/>
            <w:sz w:val="16"/>
            <w:szCs w:val="16"/>
            <w14:textOutline w14:w="0" w14:cap="flat" w14:cmpd="sng" w14:algn="ctr">
              <w14:noFill/>
              <w14:prstDash w14:val="solid"/>
              <w14:bevel/>
            </w14:textOutline>
          </w:rPr>
          <w:t>https://doi.org/10.3390/antibiotics10070859</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3B7640C5" w14:textId="7AB965DC"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Fischer CL, Walters KS, Drake DR, Dawson DV, Blanchette DR, Brogden KA, et al. Oral mucosal lipids are antibacterial against Porphyromonas gingivalis, induce ultrastructural damage, and alter bacterial lipid and protein compositions. Int J Oral Sci. 2013;5(3):130-40. </w:t>
      </w:r>
      <w:hyperlink r:id="rId56" w:history="1">
        <w:r w:rsidRPr="00E816E4">
          <w:rPr>
            <w:rStyle w:val="Hyperlink"/>
            <w:rFonts w:eastAsia="Arial Unicode MS"/>
            <w:sz w:val="16"/>
            <w:szCs w:val="16"/>
            <w14:textOutline w14:w="0" w14:cap="flat" w14:cmpd="sng" w14:algn="ctr">
              <w14:noFill/>
              <w14:prstDash w14:val="solid"/>
              <w14:bevel/>
            </w14:textOutline>
          </w:rPr>
          <w:t>https://doi.org/10.1038/ijos.2013.28</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0C5B3443" w14:textId="0A40587A" w:rsidR="00E816E4"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Eltigani</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SA, Eltayeb MM, Ishihara A, Arima J. Isolates from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Monechma</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ciliatum</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seeds' extract hampered Porphyromonas gingivalis hemagglutinins. J Food </w:t>
      </w:r>
      <w:proofErr w:type="spellStart"/>
      <w:r w:rsidRPr="00E816E4">
        <w:rPr>
          <w:rStyle w:val="Hyperlink"/>
          <w:rFonts w:eastAsia="Arial Unicode MS"/>
          <w:color w:val="000000"/>
          <w:sz w:val="16"/>
          <w:szCs w:val="16"/>
          <w:u w:val="none"/>
          <w14:textOutline w14:w="0" w14:cap="flat" w14:cmpd="sng" w14:algn="ctr">
            <w14:noFill/>
            <w14:prstDash w14:val="solid"/>
            <w14:bevel/>
          </w14:textOutline>
        </w:rPr>
        <w:t>Biochem</w:t>
      </w:r>
      <w:proofErr w:type="spellEnd"/>
      <w:r w:rsidRPr="00E816E4">
        <w:rPr>
          <w:rStyle w:val="Hyperlink"/>
          <w:rFonts w:eastAsia="Arial Unicode MS"/>
          <w:color w:val="000000"/>
          <w:sz w:val="16"/>
          <w:szCs w:val="16"/>
          <w:u w:val="none"/>
          <w14:textOutline w14:w="0" w14:cap="flat" w14:cmpd="sng" w14:algn="ctr">
            <w14:noFill/>
            <w14:prstDash w14:val="solid"/>
            <w14:bevel/>
          </w14:textOutline>
        </w:rPr>
        <w:t xml:space="preserve">. 2019;43(11):e13029. </w:t>
      </w:r>
      <w:hyperlink r:id="rId57" w:history="1">
        <w:r w:rsidRPr="00E816E4">
          <w:rPr>
            <w:rStyle w:val="Hyperlink"/>
            <w:rFonts w:eastAsia="Arial Unicode MS"/>
            <w:sz w:val="16"/>
            <w:szCs w:val="16"/>
            <w14:textOutline w14:w="0" w14:cap="flat" w14:cmpd="sng" w14:algn="ctr">
              <w14:noFill/>
              <w14:prstDash w14:val="solid"/>
              <w14:bevel/>
            </w14:textOutline>
          </w:rPr>
          <w:t>https://doi.org/10.1111/jfbc.13029</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0D181780" w14:textId="767D3B7E" w:rsidR="00DD48F3" w:rsidRPr="00E816E4" w:rsidRDefault="00E816E4" w:rsidP="00684F8B">
      <w:pPr>
        <w:pStyle w:val="ListParagraph"/>
        <w:widowControl w:val="0"/>
        <w:numPr>
          <w:ilvl w:val="0"/>
          <w:numId w:val="46"/>
        </w:numPr>
        <w:autoSpaceDE w:val="0"/>
        <w:autoSpaceDN w:val="0"/>
        <w:adjustRightInd w:val="0"/>
        <w:spacing w:before="220" w:after="60" w:line="240" w:lineRule="auto"/>
        <w:ind w:left="1080" w:right="547"/>
        <w:rPr>
          <w:rStyle w:val="Hyperlink"/>
          <w:rFonts w:eastAsia="Arial Unicode MS"/>
          <w:color w:val="000000"/>
          <w:sz w:val="16"/>
          <w:szCs w:val="16"/>
          <w:u w:val="none"/>
          <w14:textOutline w14:w="0" w14:cap="flat" w14:cmpd="sng" w14:algn="ctr">
            <w14:noFill/>
            <w14:prstDash w14:val="solid"/>
            <w14:bevel/>
          </w14:textOutline>
        </w:rPr>
      </w:pPr>
      <w:r w:rsidRPr="00E816E4">
        <w:rPr>
          <w:rStyle w:val="Hyperlink"/>
          <w:rFonts w:eastAsia="Arial Unicode MS"/>
          <w:color w:val="000000"/>
          <w:sz w:val="16"/>
          <w:szCs w:val="16"/>
          <w:u w:val="none"/>
          <w14:textOutline w14:w="0" w14:cap="flat" w14:cmpd="sng" w14:algn="ctr">
            <w14:noFill/>
            <w14:prstDash w14:val="solid"/>
            <w14:bevel/>
          </w14:textOutline>
        </w:rPr>
        <w:t xml:space="preserve">Lynch AS, Robertson GT. Bacterial and fungal biofilm infections. Annu Rev Med. 2008;59:415-28. </w:t>
      </w:r>
      <w:hyperlink r:id="rId58" w:history="1">
        <w:r w:rsidRPr="00E816E4">
          <w:rPr>
            <w:rStyle w:val="Hyperlink"/>
            <w:rFonts w:eastAsia="Arial Unicode MS"/>
            <w:sz w:val="16"/>
            <w:szCs w:val="16"/>
            <w14:textOutline w14:w="0" w14:cap="flat" w14:cmpd="sng" w14:algn="ctr">
              <w14:noFill/>
              <w14:prstDash w14:val="solid"/>
              <w14:bevel/>
            </w14:textOutline>
          </w:rPr>
          <w:t>https://doi.org/10.1146/annurev.med.59.110106.132000</w:t>
        </w:r>
      </w:hyperlink>
      <w:r w:rsidRPr="00E816E4">
        <w:rPr>
          <w:rStyle w:val="Hyperlink"/>
          <w:rFonts w:eastAsia="Arial Unicode MS"/>
          <w:color w:val="000000"/>
          <w:sz w:val="16"/>
          <w:szCs w:val="16"/>
          <w:u w:val="none"/>
          <w14:textOutline w14:w="0" w14:cap="flat" w14:cmpd="sng" w14:algn="ctr">
            <w14:noFill/>
            <w14:prstDash w14:val="solid"/>
            <w14:bevel/>
          </w14:textOutline>
        </w:rPr>
        <w:t xml:space="preserve"> </w:t>
      </w:r>
    </w:p>
    <w:p w14:paraId="51AFFEF5" w14:textId="77777777" w:rsidR="00684F8B" w:rsidRDefault="00684F8B" w:rsidP="0032087E">
      <w:pPr>
        <w:bidi/>
        <w:ind w:left="476" w:right="543"/>
        <w:rPr>
          <w:rFonts w:eastAsia="Calibri Light"/>
          <w:b/>
          <w:bCs/>
          <w:sz w:val="18"/>
          <w:szCs w:val="18"/>
        </w:rPr>
      </w:pPr>
    </w:p>
    <w:p w14:paraId="6C0C2516" w14:textId="77777777" w:rsidR="00684F8B" w:rsidRDefault="00684F8B" w:rsidP="00684F8B">
      <w:pPr>
        <w:bidi/>
        <w:ind w:left="476" w:right="543"/>
        <w:rPr>
          <w:rFonts w:eastAsia="Calibri Light"/>
          <w:b/>
          <w:bCs/>
          <w:sz w:val="18"/>
          <w:szCs w:val="18"/>
        </w:rPr>
      </w:pPr>
    </w:p>
    <w:p w14:paraId="47AB2244" w14:textId="67D4DC16" w:rsidR="00B30BDB" w:rsidRPr="00131565" w:rsidRDefault="005119F9" w:rsidP="00684F8B">
      <w:pPr>
        <w:bidi/>
        <w:ind w:left="476" w:right="543"/>
        <w:rPr>
          <w:rFonts w:eastAsia="Calibri Light"/>
          <w:b/>
          <w:bCs/>
          <w:sz w:val="18"/>
          <w:szCs w:val="18"/>
        </w:rPr>
      </w:pPr>
      <w:r w:rsidRPr="00131565">
        <w:rPr>
          <w:rFonts w:eastAsia="Calibri Light"/>
          <w:b/>
          <w:bCs/>
          <w:sz w:val="18"/>
          <w:szCs w:val="18"/>
          <w:rtl/>
        </w:rPr>
        <w:lastRenderedPageBreak/>
        <w:t>تحديد الفعالية المضادة للبكتيريا لحمض الأموكسيسيلين-كلافولانيك (أوغمنتين®) والميترونيدازول والمستخلص الإيثانولي من المورينجا أوليفيرا ل. ضد البكتيريا المعزولة سريريًا. (دراسة</w:t>
      </w:r>
      <w:r w:rsidR="00DB35CB" w:rsidRPr="00131565">
        <w:rPr>
          <w:rFonts w:eastAsia="Calibri Light" w:hint="cs"/>
          <w:b/>
          <w:bCs/>
          <w:sz w:val="18"/>
          <w:szCs w:val="18"/>
          <w:rtl/>
        </w:rPr>
        <w:t xml:space="preserve"> </w:t>
      </w:r>
      <w:r w:rsidR="00473B92" w:rsidRPr="00131565">
        <w:rPr>
          <w:rFonts w:eastAsia="Calibri Light" w:hint="cs"/>
          <w:b/>
          <w:bCs/>
          <w:sz w:val="18"/>
          <w:szCs w:val="18"/>
          <w:rtl/>
        </w:rPr>
        <w:t>مختبرية)</w:t>
      </w:r>
    </w:p>
    <w:p w14:paraId="6BA8319C" w14:textId="69FB5708" w:rsidR="008F6707" w:rsidRPr="00131565" w:rsidRDefault="00D36181" w:rsidP="0032087E">
      <w:pPr>
        <w:bidi/>
        <w:ind w:left="476" w:right="543"/>
        <w:rPr>
          <w:rFonts w:eastAsia="Calibri Light"/>
          <w:b/>
          <w:bCs/>
          <w:sz w:val="18"/>
          <w:szCs w:val="18"/>
          <w:rtl/>
          <w:lang w:bidi="ar-IQ"/>
        </w:rPr>
      </w:pPr>
      <w:r w:rsidRPr="00131565">
        <w:rPr>
          <w:rFonts w:eastAsia="Calibri Light" w:hint="cs"/>
          <w:b/>
          <w:bCs/>
          <w:sz w:val="18"/>
          <w:szCs w:val="18"/>
          <w:rtl/>
          <w:lang w:bidi="ar-IQ"/>
        </w:rPr>
        <w:t>فراس بشير هاشم</w:t>
      </w:r>
      <w:r w:rsidR="006E4819" w:rsidRPr="00131565">
        <w:rPr>
          <w:rFonts w:eastAsia="Calibri Light" w:hint="cs"/>
          <w:b/>
          <w:bCs/>
          <w:sz w:val="18"/>
          <w:szCs w:val="18"/>
          <w:rtl/>
          <w:lang w:bidi="ar-IQ"/>
        </w:rPr>
        <w:t xml:space="preserve"> </w:t>
      </w:r>
      <w:r w:rsidR="00424A4E" w:rsidRPr="00131565">
        <w:rPr>
          <w:rFonts w:eastAsia="Calibri Light" w:hint="cs"/>
          <w:b/>
          <w:bCs/>
          <w:sz w:val="18"/>
          <w:szCs w:val="18"/>
          <w:rtl/>
          <w:lang w:bidi="ar-IQ"/>
        </w:rPr>
        <w:t>الطويل،</w:t>
      </w:r>
      <w:r w:rsidR="008F6707" w:rsidRPr="00131565">
        <w:rPr>
          <w:rFonts w:eastAsia="Calibri Light" w:hint="cs"/>
          <w:b/>
          <w:bCs/>
          <w:sz w:val="18"/>
          <w:szCs w:val="18"/>
          <w:rtl/>
          <w:lang w:bidi="ar-IQ"/>
        </w:rPr>
        <w:t xml:space="preserve"> </w:t>
      </w:r>
      <w:r w:rsidRPr="00131565">
        <w:rPr>
          <w:rFonts w:eastAsia="Calibri Light" w:hint="cs"/>
          <w:b/>
          <w:bCs/>
          <w:sz w:val="18"/>
          <w:szCs w:val="18"/>
          <w:rtl/>
          <w:lang w:bidi="ar-IQ"/>
        </w:rPr>
        <w:t xml:space="preserve">علي فيصل </w:t>
      </w:r>
      <w:r w:rsidR="00424A4E" w:rsidRPr="00131565">
        <w:rPr>
          <w:rFonts w:eastAsia="Calibri Light" w:hint="cs"/>
          <w:b/>
          <w:bCs/>
          <w:sz w:val="18"/>
          <w:szCs w:val="18"/>
          <w:rtl/>
          <w:lang w:bidi="ar-IQ"/>
        </w:rPr>
        <w:t>مظلوم، عمر</w:t>
      </w:r>
      <w:r w:rsidRPr="00131565">
        <w:rPr>
          <w:rFonts w:eastAsia="Calibri Light" w:hint="cs"/>
          <w:b/>
          <w:bCs/>
          <w:sz w:val="18"/>
          <w:szCs w:val="18"/>
          <w:rtl/>
          <w:lang w:bidi="ar-IQ"/>
        </w:rPr>
        <w:t xml:space="preserve"> حسن سليمان</w:t>
      </w:r>
    </w:p>
    <w:p w14:paraId="2961BEF5" w14:textId="21B9C5A2" w:rsidR="00E21628" w:rsidRPr="00131565" w:rsidRDefault="00E21628" w:rsidP="0032087E">
      <w:pPr>
        <w:pStyle w:val="Body"/>
        <w:bidi/>
        <w:spacing w:line="240" w:lineRule="auto"/>
        <w:ind w:left="476" w:right="543" w:firstLine="0"/>
        <w:contextualSpacing/>
        <w:rPr>
          <w:rFonts w:ascii="Times New Roman" w:eastAsia="Calibri Light" w:hAnsi="Times New Roman" w:cs="Times New Roman"/>
          <w:b/>
          <w:bCs/>
          <w:sz w:val="18"/>
          <w:szCs w:val="18"/>
        </w:rPr>
      </w:pPr>
      <w:r w:rsidRPr="00131565">
        <w:rPr>
          <w:rFonts w:ascii="Times New Roman" w:eastAsia="Calibri Light" w:hAnsi="Times New Roman" w:cs="Times New Roman"/>
          <w:b/>
          <w:bCs/>
          <w:sz w:val="18"/>
          <w:szCs w:val="18"/>
          <w:rtl/>
        </w:rPr>
        <w:t>ال</w:t>
      </w:r>
      <w:r w:rsidRPr="00131565">
        <w:rPr>
          <w:rFonts w:ascii="Times New Roman" w:eastAsia="Calibri Light" w:hAnsi="Times New Roman" w:cs="Times New Roman" w:hint="cs"/>
          <w:b/>
          <w:bCs/>
          <w:sz w:val="18"/>
          <w:szCs w:val="18"/>
          <w:rtl/>
        </w:rPr>
        <w:t>مستخل</w:t>
      </w:r>
      <w:r w:rsidRPr="00131565">
        <w:rPr>
          <w:rFonts w:ascii="Times New Roman" w:eastAsia="Calibri Light" w:hAnsi="Times New Roman" w:cs="Times New Roman"/>
          <w:b/>
          <w:bCs/>
          <w:sz w:val="18"/>
          <w:szCs w:val="18"/>
          <w:rtl/>
        </w:rPr>
        <w:t>ص</w:t>
      </w:r>
    </w:p>
    <w:p w14:paraId="3BE40412" w14:textId="7934E3D1" w:rsidR="00E21628" w:rsidRPr="00131565" w:rsidRDefault="00E21628" w:rsidP="0032087E">
      <w:pPr>
        <w:pStyle w:val="Body"/>
        <w:bidi/>
        <w:spacing w:line="240" w:lineRule="auto"/>
        <w:ind w:left="476" w:right="543" w:firstLine="0"/>
        <w:contextualSpacing/>
        <w:rPr>
          <w:rFonts w:ascii="Times New Roman" w:eastAsia="Calibri Light" w:hAnsi="Times New Roman" w:cs="Times New Roman"/>
          <w:sz w:val="16"/>
          <w:szCs w:val="16"/>
        </w:rPr>
      </w:pPr>
      <w:r w:rsidRPr="00131565">
        <w:rPr>
          <w:rFonts w:ascii="Times New Roman" w:eastAsia="Calibri Light" w:hAnsi="Times New Roman" w:cs="Times New Roman"/>
          <w:sz w:val="16"/>
          <w:szCs w:val="16"/>
          <w:rtl/>
        </w:rPr>
        <w:t>الخلفية: يُستخدم حمض الأموكسيسيلين-كلافولانيك (أوغمنتين®)، وميترونيدازول، ومزيج الأموكسيل/مترو، والأزيثروميسين بشكل شائع كعلاج مساعد لالتهاب دواعم السن. وقد أظهرت مستخلصات أوراق المورينجا أوليفيرا (</w:t>
      </w:r>
      <w:r w:rsidRPr="00131565">
        <w:rPr>
          <w:rFonts w:ascii="Times New Roman" w:eastAsia="Calibri Light" w:hAnsi="Times New Roman" w:cs="Times New Roman"/>
          <w:sz w:val="16"/>
          <w:szCs w:val="16"/>
        </w:rPr>
        <w:t>L</w:t>
      </w:r>
      <w:r w:rsidRPr="00131565">
        <w:rPr>
          <w:rFonts w:ascii="Times New Roman" w:eastAsia="Calibri Light" w:hAnsi="Times New Roman" w:cs="Times New Roman"/>
          <w:sz w:val="16"/>
          <w:szCs w:val="16"/>
          <w:rtl/>
        </w:rPr>
        <w:t>) قدرتها على تثبيط نمو البكتيريا اللاهوائية الاختيارية، بما في ذلك المتصورة اللثوية، والإشريكية القولونية، والزائفة الزنجارية، والبواسير الشمعية، والسالمونيلا سوني، والمكورات العنقودية الذهبية، والبواسير الرقيقة، والسالمونيلا الصفراء، والسالمونيلا الحالة للدم، والبواسير ميجاتيريوم، بالإضافة إلى تثبيط نمو الأغشية الحيوية السنية. الأهداف: أُجريت هذه الدراسة لتحديد الفعالية المضادة للبكتيريا لحمض الأموكسيسيلين-كلافولانيك (أوغمنتين®)، والميترونيدازول، والمستخلص الإيثانولي لأوراق المورينجا ضد العزلة السريرية من المتصورة اللثوية. المواد والطرق: حُددت أدنى تركيزات تثبيط (</w:t>
      </w:r>
      <w:r w:rsidRPr="00131565">
        <w:rPr>
          <w:rFonts w:ascii="Times New Roman" w:eastAsia="Calibri Light" w:hAnsi="Times New Roman" w:cs="Times New Roman"/>
          <w:sz w:val="16"/>
          <w:szCs w:val="16"/>
        </w:rPr>
        <w:t>MIC</w:t>
      </w:r>
      <w:r w:rsidRPr="00131565">
        <w:rPr>
          <w:rFonts w:ascii="Times New Roman" w:eastAsia="Calibri Light" w:hAnsi="Times New Roman" w:cs="Times New Roman"/>
          <w:sz w:val="16"/>
          <w:szCs w:val="16"/>
          <w:rtl/>
        </w:rPr>
        <w:t>) وأدنى تركيزات قاتلة للبكتيريا (</w:t>
      </w:r>
      <w:r w:rsidRPr="00131565">
        <w:rPr>
          <w:rFonts w:ascii="Times New Roman" w:eastAsia="Calibri Light" w:hAnsi="Times New Roman" w:cs="Times New Roman"/>
          <w:sz w:val="16"/>
          <w:szCs w:val="16"/>
        </w:rPr>
        <w:t>MBC</w:t>
      </w:r>
      <w:r w:rsidRPr="00131565">
        <w:rPr>
          <w:rFonts w:ascii="Times New Roman" w:eastAsia="Calibri Light" w:hAnsi="Times New Roman" w:cs="Times New Roman"/>
          <w:sz w:val="16"/>
          <w:szCs w:val="16"/>
          <w:rtl/>
        </w:rPr>
        <w:t xml:space="preserve">) وحساسية بكتيريا </w:t>
      </w:r>
      <w:r w:rsidRPr="00131565">
        <w:rPr>
          <w:rFonts w:ascii="Times New Roman" w:eastAsia="Calibri Light" w:hAnsi="Times New Roman" w:cs="Times New Roman"/>
          <w:i/>
          <w:iCs/>
          <w:sz w:val="16"/>
          <w:szCs w:val="16"/>
        </w:rPr>
        <w:t>P. gingivalis</w:t>
      </w:r>
      <w:r w:rsidRPr="00131565">
        <w:rPr>
          <w:rFonts w:ascii="Times New Roman" w:eastAsia="Calibri Light" w:hAnsi="Times New Roman" w:cs="Times New Roman"/>
          <w:sz w:val="16"/>
          <w:szCs w:val="16"/>
          <w:rtl/>
        </w:rPr>
        <w:t xml:space="preserve"> المعزولة سريريًا ضد مستخلصات أوراق الموليبدينوم الإيثانولية، والأوجمنتين، والميترونيدازول، باستخدام التخفيف التسلسلي المزدوج، وانتشار بئر الأجار، وانتشار القرص، على التوالي. استُخدمت تقنية كروماتوغرافيا الغاز-مطياف الكتلة (</w:t>
      </w:r>
      <w:r w:rsidRPr="00131565">
        <w:rPr>
          <w:rFonts w:ascii="Times New Roman" w:eastAsia="Calibri Light" w:hAnsi="Times New Roman" w:cs="Times New Roman"/>
          <w:sz w:val="16"/>
          <w:szCs w:val="16"/>
        </w:rPr>
        <w:t>GC-MS</w:t>
      </w:r>
      <w:r w:rsidRPr="00131565">
        <w:rPr>
          <w:rFonts w:ascii="Times New Roman" w:eastAsia="Calibri Light" w:hAnsi="Times New Roman" w:cs="Times New Roman"/>
          <w:sz w:val="16"/>
          <w:szCs w:val="16"/>
          <w:rtl/>
        </w:rPr>
        <w:t xml:space="preserve">) للتحليل الكيميائي النباتي لمستخلص أوراق الموليبدينوم باستخدام مذيب الإيثانول. النتائج: أظهرت بكتيريا </w:t>
      </w:r>
      <w:r w:rsidRPr="00131565">
        <w:rPr>
          <w:rFonts w:ascii="Times New Roman" w:eastAsia="Calibri Light" w:hAnsi="Times New Roman" w:cs="Times New Roman"/>
          <w:i/>
          <w:iCs/>
          <w:sz w:val="16"/>
          <w:szCs w:val="16"/>
        </w:rPr>
        <w:t>P. gingivalis</w:t>
      </w:r>
      <w:r w:rsidRPr="00131565">
        <w:rPr>
          <w:rFonts w:ascii="Times New Roman" w:eastAsia="Calibri Light" w:hAnsi="Times New Roman" w:cs="Times New Roman"/>
          <w:sz w:val="16"/>
          <w:szCs w:val="16"/>
          <w:rtl/>
        </w:rPr>
        <w:t xml:space="preserve"> تثبيطًا لمستخلص أوراق الموليبدينوم، بينما أظهرت مقاومةً للأوجمنتين والميترونيدازول. وُجد أن أدنى تركيز تثبيطي (</w:t>
      </w:r>
      <w:r w:rsidRPr="00131565">
        <w:rPr>
          <w:rFonts w:ascii="Times New Roman" w:eastAsia="Calibri Light" w:hAnsi="Times New Roman" w:cs="Times New Roman"/>
          <w:sz w:val="16"/>
          <w:szCs w:val="16"/>
        </w:rPr>
        <w:t>MIC</w:t>
      </w:r>
      <w:r w:rsidRPr="00131565">
        <w:rPr>
          <w:rFonts w:ascii="Times New Roman" w:eastAsia="Calibri Light" w:hAnsi="Times New Roman" w:cs="Times New Roman"/>
          <w:sz w:val="16"/>
          <w:szCs w:val="16"/>
          <w:rtl/>
        </w:rPr>
        <w:t xml:space="preserve">) وأدنى تركيز قاتل للبكتيريا لمستخلص أوراق الموليبدينوم كانا 0.78 ملغم/مل و1.56 ملغم/مل ضد </w:t>
      </w:r>
      <w:r w:rsidRPr="00131565">
        <w:rPr>
          <w:rFonts w:ascii="Times New Roman" w:eastAsia="Calibri Light" w:hAnsi="Times New Roman" w:cs="Times New Roman"/>
          <w:i/>
          <w:iCs/>
          <w:sz w:val="16"/>
          <w:szCs w:val="16"/>
        </w:rPr>
        <w:t>P. gingivalis</w:t>
      </w:r>
      <w:r w:rsidRPr="00131565">
        <w:rPr>
          <w:rFonts w:ascii="Times New Roman" w:eastAsia="Calibri Light" w:hAnsi="Times New Roman" w:cs="Times New Roman"/>
          <w:sz w:val="16"/>
          <w:szCs w:val="16"/>
          <w:rtl/>
        </w:rPr>
        <w:t xml:space="preserve">، على التوالي. أظهر المستخلص أعلى تأثير مضاد للأغشية الحيوية عند أدنى تركيزين (1.55 ملغ/مل) و0.78 ملغ/مل، أي ما يعادل 0.06% من الكلورهيكسيدين، مقارنةً بأقل تركيز له (0.34 ملغ/مل)، وكان هذا النشاط متناسبًا عكسيًا مع تركيز المستخلص. الخلاصة: على الرغم من عدم ظهور أي حساسية تجاه بكتيريا </w:t>
      </w:r>
      <w:r w:rsidRPr="00131565">
        <w:rPr>
          <w:rFonts w:ascii="Times New Roman" w:eastAsia="Calibri Light" w:hAnsi="Times New Roman" w:cs="Times New Roman"/>
          <w:i/>
          <w:iCs/>
          <w:sz w:val="16"/>
          <w:szCs w:val="16"/>
        </w:rPr>
        <w:t>P. gingivalis</w:t>
      </w:r>
      <w:r w:rsidRPr="00131565">
        <w:rPr>
          <w:rFonts w:ascii="Times New Roman" w:eastAsia="Calibri Light" w:hAnsi="Times New Roman" w:cs="Times New Roman"/>
          <w:sz w:val="16"/>
          <w:szCs w:val="16"/>
          <w:rtl/>
        </w:rPr>
        <w:t xml:space="preserve"> لدى كلٍّ من أوغمنتين وميترونيدازول، إلا أن التأثير المضاد للبكتيريا الواعد لمستخلص أوراق الموليبدينوم ضد هذه البكتيريا قد يشير إلى إمكانية استخدامه في تعزيز صحة الفم، مما يشير إلى إجراء المزيد من الدراسات الحيوية للتحقق من صحة مستخلصات الموليبدينوم كبدائل علاجية في علاج التهاب دواعم السن.</w:t>
      </w:r>
    </w:p>
    <w:sectPr w:rsidR="00E21628" w:rsidRPr="00131565" w:rsidSect="00684F8B">
      <w:headerReference w:type="even" r:id="rId59"/>
      <w:headerReference w:type="default" r:id="rId60"/>
      <w:footerReference w:type="default" r:id="rId61"/>
      <w:headerReference w:type="first" r:id="rId62"/>
      <w:footerReference w:type="first" r:id="rId63"/>
      <w:pgSz w:w="11906" w:h="16838" w:code="9"/>
      <w:pgMar w:top="1397" w:right="720" w:bottom="1077" w:left="720" w:header="180" w:footer="720" w:gutter="0"/>
      <w:pgNumType w:start="3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BFC45" w14:textId="77777777" w:rsidR="00727E9D" w:rsidRDefault="00727E9D">
      <w:r>
        <w:separator/>
      </w:r>
    </w:p>
  </w:endnote>
  <w:endnote w:type="continuationSeparator" w:id="0">
    <w:p w14:paraId="370DF36E" w14:textId="77777777" w:rsidR="00727E9D" w:rsidRDefault="00727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711773116"/>
      <w:docPartObj>
        <w:docPartGallery w:val="Page Numbers (Bottom of Page)"/>
        <w:docPartUnique/>
      </w:docPartObj>
    </w:sdtPr>
    <w:sdtEndPr>
      <w:rPr>
        <w:noProof/>
      </w:rPr>
    </w:sdtEndPr>
    <w:sdtContent>
      <w:p w14:paraId="6D4211DC" w14:textId="0C31EC1A" w:rsidR="00916511" w:rsidRDefault="00916511" w:rsidP="004278EB">
        <w:pPr>
          <w:pStyle w:val="Footer"/>
          <w:ind w:right="566" w:firstLine="0"/>
          <w:jc w:val="center"/>
        </w:pPr>
        <w:r>
          <w:rPr>
            <w:noProof w:val="0"/>
          </w:rPr>
          <w:fldChar w:fldCharType="begin"/>
        </w:r>
        <w:r>
          <w:instrText xml:space="preserve"> PAGE   \* MERGEFORMAT </w:instrText>
        </w:r>
        <w:r>
          <w:rPr>
            <w:noProof w:val="0"/>
          </w:rPr>
          <w:fldChar w:fldCharType="separate"/>
        </w:r>
        <w:r>
          <w:t>2</w:t>
        </w:r>
        <w:r>
          <w:fldChar w:fldCharType="end"/>
        </w:r>
      </w:p>
    </w:sdtContent>
  </w:sdt>
  <w:p w14:paraId="6E764EB2" w14:textId="77777777" w:rsidR="004908FE" w:rsidRDefault="004908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4FD4" w14:textId="3B0F9CFA" w:rsidR="004908FE" w:rsidRDefault="003920BF" w:rsidP="003920BF">
    <w:pPr>
      <w:pStyle w:val="Footer"/>
      <w:ind w:firstLine="0"/>
      <w:jc w:val="center"/>
      <w:rPr>
        <w:lang w:val="en-GB"/>
      </w:rPr>
    </w:pPr>
    <w:r>
      <w:rPr>
        <w:lang w:val="en-GB"/>
      </w:rPr>
      <w:t>36</w:t>
    </w:r>
  </w:p>
  <w:p w14:paraId="75CA94C4" w14:textId="77777777" w:rsidR="003920BF" w:rsidRPr="003920BF" w:rsidRDefault="003920BF" w:rsidP="003920BF">
    <w:pPr>
      <w:pStyle w:val="Footer"/>
      <w:ind w:firstLine="0"/>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0EDF5" w14:textId="77777777" w:rsidR="00727E9D" w:rsidRDefault="00727E9D">
      <w:r>
        <w:separator/>
      </w:r>
    </w:p>
  </w:footnote>
  <w:footnote w:type="continuationSeparator" w:id="0">
    <w:p w14:paraId="425F485B" w14:textId="77777777" w:rsidR="00727E9D" w:rsidRDefault="00727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37DE" w14:textId="77777777" w:rsidR="00156382" w:rsidRDefault="00156382" w:rsidP="0073386A">
    <w:pPr>
      <w:pStyle w:val="Header"/>
      <w:pBdr>
        <w:bottom w:val="none" w:sz="0" w:space="0" w:color="auto"/>
      </w:pBdr>
    </w:pPr>
  </w:p>
  <w:p w14:paraId="36083403" w14:textId="77777777" w:rsidR="00156382" w:rsidRDefault="00156382"/>
  <w:p w14:paraId="73C0345F" w14:textId="77777777" w:rsidR="00156382" w:rsidRDefault="00156382"/>
  <w:p w14:paraId="7BBE2A5C" w14:textId="77777777" w:rsidR="004908FE" w:rsidRDefault="004908FE"/>
  <w:p w14:paraId="2CBD9D28" w14:textId="77777777" w:rsidR="004908FE" w:rsidRDefault="004908F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2087" w14:textId="35F3274D" w:rsidR="00156382" w:rsidRPr="00EF6F8A" w:rsidRDefault="005B4010" w:rsidP="005B4010">
    <w:pPr>
      <w:tabs>
        <w:tab w:val="left" w:pos="709"/>
        <w:tab w:val="left" w:pos="851"/>
        <w:tab w:val="left" w:pos="9923"/>
        <w:tab w:val="left" w:pos="10065"/>
        <w:tab w:val="right" w:pos="10466"/>
      </w:tabs>
      <w:ind w:right="26"/>
      <w:rPr>
        <w:i/>
        <w:iCs/>
        <w:sz w:val="18"/>
        <w:szCs w:val="18"/>
        <w:lang w:eastAsia="de-DE"/>
      </w:rPr>
    </w:pPr>
    <w:r>
      <w:rPr>
        <w:i/>
        <w:iCs/>
        <w:sz w:val="18"/>
        <w:szCs w:val="18"/>
        <w:lang w:eastAsia="de-DE"/>
      </w:rPr>
      <w:t xml:space="preserve">                </w:t>
    </w:r>
    <w:r w:rsidR="00156382" w:rsidRPr="00EF6F8A">
      <w:rPr>
        <w:i/>
        <w:iCs/>
        <w:sz w:val="18"/>
        <w:szCs w:val="18"/>
        <w:lang w:eastAsia="de-DE"/>
      </w:rPr>
      <w:t>J. Bagh. Coll. Dent. Vol.</w:t>
    </w:r>
    <w:r w:rsidR="00A319FC">
      <w:rPr>
        <w:i/>
        <w:iCs/>
        <w:sz w:val="18"/>
        <w:szCs w:val="18"/>
        <w:lang w:eastAsia="de-DE"/>
      </w:rPr>
      <w:t>37</w:t>
    </w:r>
    <w:r w:rsidR="00156382" w:rsidRPr="00EF6F8A">
      <w:rPr>
        <w:i/>
        <w:iCs/>
        <w:sz w:val="18"/>
        <w:szCs w:val="18"/>
        <w:lang w:eastAsia="de-DE"/>
      </w:rPr>
      <w:t>, No</w:t>
    </w:r>
    <w:r w:rsidR="0020313C">
      <w:rPr>
        <w:i/>
        <w:iCs/>
        <w:sz w:val="18"/>
        <w:szCs w:val="18"/>
        <w:lang w:eastAsia="de-DE"/>
      </w:rPr>
      <w:t>.</w:t>
    </w:r>
    <w:r w:rsidR="00A319FC">
      <w:rPr>
        <w:i/>
        <w:iCs/>
        <w:sz w:val="18"/>
        <w:szCs w:val="18"/>
        <w:lang w:eastAsia="de-DE"/>
      </w:rPr>
      <w:t xml:space="preserve"> 4</w:t>
    </w:r>
    <w:r w:rsidR="00A319FC">
      <w:rPr>
        <w:i/>
        <w:iCs/>
        <w:sz w:val="18"/>
        <w:szCs w:val="18"/>
        <w:lang w:val="fr-CH" w:eastAsia="de-DE"/>
      </w:rPr>
      <w:t xml:space="preserve"> </w:t>
    </w:r>
    <w:r w:rsidR="00156382" w:rsidRPr="00EF6F8A">
      <w:rPr>
        <w:i/>
        <w:iCs/>
        <w:sz w:val="18"/>
        <w:szCs w:val="18"/>
        <w:lang w:eastAsia="de-DE"/>
      </w:rPr>
      <w:t>20</w:t>
    </w:r>
    <w:r w:rsidR="00DC340C">
      <w:rPr>
        <w:rFonts w:hint="cs"/>
        <w:i/>
        <w:iCs/>
        <w:sz w:val="18"/>
        <w:szCs w:val="18"/>
        <w:rtl/>
        <w:lang w:val="fr-CH" w:eastAsia="de-DE"/>
      </w:rPr>
      <w:t>2</w:t>
    </w:r>
    <w:r w:rsidR="005E0025">
      <w:rPr>
        <w:i/>
        <w:iCs/>
        <w:sz w:val="18"/>
        <w:szCs w:val="18"/>
        <w:lang w:val="fr-CH" w:eastAsia="de-DE"/>
      </w:rPr>
      <w:t>5</w:t>
    </w:r>
    <w:r w:rsidR="00156382" w:rsidRPr="00EF6F8A">
      <w:rPr>
        <w:i/>
        <w:iCs/>
        <w:sz w:val="18"/>
        <w:szCs w:val="18"/>
        <w:lang w:eastAsia="de-DE"/>
      </w:rPr>
      <w:t xml:space="preserve">                                                    </w:t>
    </w:r>
    <w:r w:rsidR="00976AA5">
      <w:rPr>
        <w:i/>
        <w:iCs/>
        <w:sz w:val="18"/>
        <w:szCs w:val="18"/>
        <w:lang w:eastAsia="de-DE"/>
      </w:rPr>
      <w:t xml:space="preserve">  </w:t>
    </w:r>
    <w:r w:rsidR="00156382" w:rsidRPr="00EF6F8A">
      <w:rPr>
        <w:i/>
        <w:iCs/>
        <w:sz w:val="18"/>
        <w:szCs w:val="18"/>
        <w:lang w:eastAsia="de-DE"/>
      </w:rPr>
      <w:t xml:space="preserve">                                              </w:t>
    </w:r>
    <w:r w:rsidR="00916511" w:rsidRPr="00EF6F8A">
      <w:rPr>
        <w:i/>
        <w:iCs/>
        <w:sz w:val="18"/>
        <w:szCs w:val="18"/>
        <w:lang w:eastAsia="de-DE"/>
      </w:rPr>
      <w:t xml:space="preserve">        </w:t>
    </w:r>
    <w:r w:rsidR="00156382" w:rsidRPr="00EF6F8A">
      <w:rPr>
        <w:i/>
        <w:iCs/>
        <w:sz w:val="18"/>
        <w:szCs w:val="18"/>
        <w:lang w:eastAsia="de-DE"/>
      </w:rPr>
      <w:t xml:space="preserve">       </w:t>
    </w:r>
    <w:r>
      <w:rPr>
        <w:i/>
        <w:iCs/>
        <w:sz w:val="18"/>
        <w:szCs w:val="18"/>
        <w:lang w:eastAsia="de-DE"/>
      </w:rPr>
      <w:t xml:space="preserve"> </w:t>
    </w:r>
    <w:r w:rsidR="00156382" w:rsidRPr="00EF6F8A">
      <w:rPr>
        <w:i/>
        <w:iCs/>
        <w:sz w:val="18"/>
        <w:szCs w:val="18"/>
        <w:lang w:eastAsia="de-DE"/>
      </w:rPr>
      <w:t xml:space="preserve"> </w:t>
    </w:r>
    <w:r w:rsidR="00DC340C" w:rsidRPr="00DC340C">
      <w:rPr>
        <w:sz w:val="18"/>
        <w:szCs w:val="18"/>
      </w:rPr>
      <w:t xml:space="preserve">Al-Taweel </w:t>
    </w:r>
    <w:r w:rsidR="00156382">
      <w:rPr>
        <w:sz w:val="18"/>
        <w:szCs w:val="18"/>
      </w:rPr>
      <w:t>et al.</w:t>
    </w:r>
  </w:p>
  <w:p w14:paraId="34A43992" w14:textId="77777777" w:rsidR="00156382" w:rsidRPr="00EF6F8A" w:rsidRDefault="00156382" w:rsidP="00A6168D">
    <w:pPr>
      <w:pBdr>
        <w:bottom w:val="single" w:sz="4" w:space="1" w:color="000000"/>
      </w:pBdr>
      <w:tabs>
        <w:tab w:val="right" w:pos="8844"/>
      </w:tabs>
      <w:adjustRightInd w:val="0"/>
      <w:snapToGrid w:val="0"/>
      <w:spacing w:after="480" w:line="100" w:lineRule="exact"/>
      <w:ind w:left="720" w:right="476"/>
      <w:rPr>
        <w:sz w:val="16"/>
      </w:rPr>
    </w:pPr>
  </w:p>
  <w:p w14:paraId="5DA7A49E" w14:textId="77777777" w:rsidR="004908FE" w:rsidRDefault="004908F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44BC" w14:textId="4C4833BD" w:rsidR="00156382" w:rsidRPr="00A319FC" w:rsidRDefault="00156382" w:rsidP="00DC340C">
    <w:pPr>
      <w:pBdr>
        <w:bottom w:val="single" w:sz="4" w:space="1" w:color="000000"/>
      </w:pBdr>
      <w:adjustRightInd w:val="0"/>
      <w:snapToGrid w:val="0"/>
      <w:ind w:right="26"/>
      <w:rPr>
        <w:b/>
        <w:bCs/>
        <w:sz w:val="20"/>
        <w:szCs w:val="20"/>
        <w:lang w:val="en-GB"/>
      </w:rPr>
    </w:pPr>
    <w:r w:rsidRPr="00A319FC">
      <w:rPr>
        <w:b/>
        <w:bCs/>
        <w:sz w:val="20"/>
        <w:szCs w:val="20"/>
        <w:lang w:val="en-GB"/>
      </w:rPr>
      <w:t>Journal of Baghdad College of Dentistry, Vol.</w:t>
    </w:r>
    <w:r w:rsidR="00924C4F" w:rsidRPr="00A319FC">
      <w:rPr>
        <w:b/>
        <w:bCs/>
        <w:sz w:val="20"/>
        <w:szCs w:val="20"/>
        <w:lang w:val="en-GB"/>
      </w:rPr>
      <w:t xml:space="preserve"> </w:t>
    </w:r>
    <w:r w:rsidR="00A319FC" w:rsidRPr="00A319FC">
      <w:rPr>
        <w:b/>
        <w:bCs/>
        <w:sz w:val="20"/>
        <w:szCs w:val="20"/>
        <w:lang w:val="en-GB"/>
      </w:rPr>
      <w:t>37</w:t>
    </w:r>
    <w:r w:rsidRPr="00A319FC">
      <w:rPr>
        <w:b/>
        <w:bCs/>
        <w:sz w:val="20"/>
        <w:szCs w:val="20"/>
        <w:lang w:val="en-GB"/>
      </w:rPr>
      <w:t>, No.</w:t>
    </w:r>
    <w:r w:rsidR="00A319FC" w:rsidRPr="00A319FC">
      <w:rPr>
        <w:b/>
        <w:bCs/>
        <w:sz w:val="20"/>
        <w:szCs w:val="20"/>
        <w:lang w:val="en-GB"/>
      </w:rPr>
      <w:t xml:space="preserve"> 4</w:t>
    </w:r>
    <w:r w:rsidRPr="00A319FC">
      <w:rPr>
        <w:b/>
        <w:bCs/>
        <w:sz w:val="20"/>
        <w:szCs w:val="20"/>
        <w:lang w:val="en-GB"/>
      </w:rPr>
      <w:t xml:space="preserve"> (20</w:t>
    </w:r>
    <w:r w:rsidR="00924C4F" w:rsidRPr="00A319FC">
      <w:rPr>
        <w:b/>
        <w:bCs/>
        <w:sz w:val="20"/>
        <w:szCs w:val="20"/>
        <w:lang w:val="en-GB"/>
      </w:rPr>
      <w:t>25</w:t>
    </w:r>
    <w:r w:rsidRPr="00A319FC">
      <w:rPr>
        <w:b/>
        <w:bCs/>
        <w:sz w:val="20"/>
        <w:szCs w:val="20"/>
        <w:lang w:val="en-GB"/>
      </w:rPr>
      <w:t xml:space="preserve">), ISSN (P): </w:t>
    </w:r>
    <w:r w:rsidRPr="00A319FC">
      <w:rPr>
        <w:b/>
        <w:bCs/>
        <w:color w:val="2C3E50"/>
        <w:sz w:val="20"/>
        <w:szCs w:val="20"/>
        <w:shd w:val="clear" w:color="auto" w:fill="FFFFFF"/>
      </w:rPr>
      <w:t>1817-1869, ISSN (E): 2311-5270</w:t>
    </w:r>
  </w:p>
  <w:p w14:paraId="0420CC59" w14:textId="77777777" w:rsidR="00156382" w:rsidRDefault="00156382"/>
  <w:p w14:paraId="794C231B" w14:textId="77777777" w:rsidR="00156382" w:rsidRDefault="00156382"/>
  <w:p w14:paraId="72802C69" w14:textId="77777777" w:rsidR="004908FE" w:rsidRDefault="004908FE"/>
  <w:p w14:paraId="11C68DE5" w14:textId="77777777" w:rsidR="004908FE" w:rsidRDefault="004908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099C"/>
    <w:multiLevelType w:val="multilevel"/>
    <w:tmpl w:val="8F46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11AC7"/>
    <w:multiLevelType w:val="multilevel"/>
    <w:tmpl w:val="ABBE314C"/>
    <w:lvl w:ilvl="0">
      <w:start w:val="1"/>
      <w:numFmt w:val="decimal"/>
      <w:lvlText w:val="%1."/>
      <w:lvlJc w:val="left"/>
      <w:pPr>
        <w:tabs>
          <w:tab w:val="num" w:pos="644"/>
        </w:tabs>
        <w:ind w:left="644"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971194"/>
    <w:multiLevelType w:val="hybridMultilevel"/>
    <w:tmpl w:val="B2CA71C2"/>
    <w:lvl w:ilvl="0" w:tplc="79C2964E">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468F5"/>
    <w:multiLevelType w:val="hybridMultilevel"/>
    <w:tmpl w:val="551C9AE8"/>
    <w:lvl w:ilvl="0" w:tplc="E264CA32">
      <w:start w:val="1"/>
      <w:numFmt w:val="bullet"/>
      <w:lvlRestart w:val="0"/>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2085B"/>
    <w:multiLevelType w:val="hybridMultilevel"/>
    <w:tmpl w:val="77E02BF6"/>
    <w:lvl w:ilvl="0" w:tplc="664029F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6" w15:restartNumberingAfterBreak="0">
    <w:nsid w:val="228B6490"/>
    <w:multiLevelType w:val="hybridMultilevel"/>
    <w:tmpl w:val="703C44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2D450F4"/>
    <w:multiLevelType w:val="hybridMultilevel"/>
    <w:tmpl w:val="E8DA98D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48A0E48"/>
    <w:multiLevelType w:val="multilevel"/>
    <w:tmpl w:val="275C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25041B"/>
    <w:multiLevelType w:val="hybridMultilevel"/>
    <w:tmpl w:val="EF8C6396"/>
    <w:lvl w:ilvl="0" w:tplc="411A08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2"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700AA"/>
    <w:multiLevelType w:val="hybridMultilevel"/>
    <w:tmpl w:val="3BFC8BA2"/>
    <w:lvl w:ilvl="0" w:tplc="0809000F">
      <w:start w:val="1"/>
      <w:numFmt w:val="decimal"/>
      <w:lvlText w:val="%1."/>
      <w:lvlJc w:val="left"/>
      <w:pPr>
        <w:ind w:left="1332" w:hanging="360"/>
      </w:pPr>
    </w:lvl>
    <w:lvl w:ilvl="1" w:tplc="08090019" w:tentative="1">
      <w:start w:val="1"/>
      <w:numFmt w:val="lowerLetter"/>
      <w:lvlText w:val="%2."/>
      <w:lvlJc w:val="left"/>
      <w:pPr>
        <w:ind w:left="2052" w:hanging="360"/>
      </w:pPr>
    </w:lvl>
    <w:lvl w:ilvl="2" w:tplc="0809001B" w:tentative="1">
      <w:start w:val="1"/>
      <w:numFmt w:val="lowerRoman"/>
      <w:lvlText w:val="%3."/>
      <w:lvlJc w:val="right"/>
      <w:pPr>
        <w:ind w:left="2772" w:hanging="180"/>
      </w:pPr>
    </w:lvl>
    <w:lvl w:ilvl="3" w:tplc="0809000F" w:tentative="1">
      <w:start w:val="1"/>
      <w:numFmt w:val="decimal"/>
      <w:lvlText w:val="%4."/>
      <w:lvlJc w:val="left"/>
      <w:pPr>
        <w:ind w:left="3492" w:hanging="360"/>
      </w:pPr>
    </w:lvl>
    <w:lvl w:ilvl="4" w:tplc="08090019" w:tentative="1">
      <w:start w:val="1"/>
      <w:numFmt w:val="lowerLetter"/>
      <w:lvlText w:val="%5."/>
      <w:lvlJc w:val="left"/>
      <w:pPr>
        <w:ind w:left="4212" w:hanging="360"/>
      </w:pPr>
    </w:lvl>
    <w:lvl w:ilvl="5" w:tplc="0809001B" w:tentative="1">
      <w:start w:val="1"/>
      <w:numFmt w:val="lowerRoman"/>
      <w:lvlText w:val="%6."/>
      <w:lvlJc w:val="right"/>
      <w:pPr>
        <w:ind w:left="4932" w:hanging="180"/>
      </w:pPr>
    </w:lvl>
    <w:lvl w:ilvl="6" w:tplc="0809000F" w:tentative="1">
      <w:start w:val="1"/>
      <w:numFmt w:val="decimal"/>
      <w:lvlText w:val="%7."/>
      <w:lvlJc w:val="left"/>
      <w:pPr>
        <w:ind w:left="5652" w:hanging="360"/>
      </w:pPr>
    </w:lvl>
    <w:lvl w:ilvl="7" w:tplc="08090019" w:tentative="1">
      <w:start w:val="1"/>
      <w:numFmt w:val="lowerLetter"/>
      <w:lvlText w:val="%8."/>
      <w:lvlJc w:val="left"/>
      <w:pPr>
        <w:ind w:left="6372" w:hanging="360"/>
      </w:pPr>
    </w:lvl>
    <w:lvl w:ilvl="8" w:tplc="0809001B" w:tentative="1">
      <w:start w:val="1"/>
      <w:numFmt w:val="lowerRoman"/>
      <w:lvlText w:val="%9."/>
      <w:lvlJc w:val="right"/>
      <w:pPr>
        <w:ind w:left="7092" w:hanging="180"/>
      </w:pPr>
    </w:lvl>
  </w:abstractNum>
  <w:abstractNum w:abstractNumId="14" w15:restartNumberingAfterBreak="0">
    <w:nsid w:val="2D44543E"/>
    <w:multiLevelType w:val="hybridMultilevel"/>
    <w:tmpl w:val="91EC89CA"/>
    <w:lvl w:ilvl="0" w:tplc="AEF0CB00">
      <w:start w:val="32"/>
      <w:numFmt w:val="decimal"/>
      <w:lvlText w:val="%1."/>
      <w:lvlJc w:val="left"/>
      <w:pPr>
        <w:ind w:left="1429"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CE50C3"/>
    <w:multiLevelType w:val="hybridMultilevel"/>
    <w:tmpl w:val="1708E8B6"/>
    <w:styleLink w:val="ImportedStyle1"/>
    <w:lvl w:ilvl="0" w:tplc="140EB6EC">
      <w:start w:val="1"/>
      <w:numFmt w:val="decimal"/>
      <w:lvlText w:val="%1."/>
      <w:lvlJc w:val="left"/>
      <w:pPr>
        <w:ind w:left="584" w:hanging="3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6868AE">
      <w:start w:val="1"/>
      <w:numFmt w:val="lowerLetter"/>
      <w:lvlText w:val="%2."/>
      <w:lvlJc w:val="left"/>
      <w:pPr>
        <w:ind w:left="1457" w:hanging="300"/>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D0B928">
      <w:start w:val="1"/>
      <w:numFmt w:val="lowerRoman"/>
      <w:lvlText w:val="%3."/>
      <w:lvlJc w:val="left"/>
      <w:pPr>
        <w:ind w:left="2190" w:hanging="233"/>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BE8D2F4">
      <w:start w:val="1"/>
      <w:numFmt w:val="decimal"/>
      <w:lvlText w:val="%4."/>
      <w:lvlJc w:val="left"/>
      <w:pPr>
        <w:ind w:left="2897" w:hanging="300"/>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929490">
      <w:start w:val="1"/>
      <w:numFmt w:val="lowerLetter"/>
      <w:lvlText w:val="%5."/>
      <w:lvlJc w:val="left"/>
      <w:pPr>
        <w:ind w:left="3617" w:hanging="300"/>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60A11F4">
      <w:start w:val="1"/>
      <w:numFmt w:val="lowerRoman"/>
      <w:lvlText w:val="%6."/>
      <w:lvlJc w:val="left"/>
      <w:pPr>
        <w:ind w:left="4350" w:hanging="233"/>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DB041BC">
      <w:start w:val="1"/>
      <w:numFmt w:val="decimal"/>
      <w:lvlText w:val="%7."/>
      <w:lvlJc w:val="left"/>
      <w:pPr>
        <w:ind w:left="5057" w:hanging="300"/>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7C96EE">
      <w:start w:val="1"/>
      <w:numFmt w:val="lowerLetter"/>
      <w:lvlText w:val="%8."/>
      <w:lvlJc w:val="left"/>
      <w:pPr>
        <w:ind w:left="5777" w:hanging="300"/>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74516A">
      <w:start w:val="1"/>
      <w:numFmt w:val="lowerRoman"/>
      <w:lvlText w:val="%9."/>
      <w:lvlJc w:val="left"/>
      <w:pPr>
        <w:ind w:left="6510" w:hanging="233"/>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69250A6"/>
    <w:multiLevelType w:val="hybridMultilevel"/>
    <w:tmpl w:val="C554DB72"/>
    <w:lvl w:ilvl="0" w:tplc="619AA4DA">
      <w:start w:val="1"/>
      <w:numFmt w:val="decimal"/>
      <w:lvlText w:val="%1."/>
      <w:lvlJc w:val="left"/>
      <w:pPr>
        <w:ind w:left="1268" w:hanging="360"/>
      </w:pPr>
      <w:rPr>
        <w:rFonts w:hint="default"/>
      </w:rPr>
    </w:lvl>
    <w:lvl w:ilvl="1" w:tplc="04090019" w:tentative="1">
      <w:start w:val="1"/>
      <w:numFmt w:val="lowerLetter"/>
      <w:lvlText w:val="%2."/>
      <w:lvlJc w:val="left"/>
      <w:pPr>
        <w:ind w:left="1988" w:hanging="360"/>
      </w:pPr>
    </w:lvl>
    <w:lvl w:ilvl="2" w:tplc="0409001B" w:tentative="1">
      <w:start w:val="1"/>
      <w:numFmt w:val="lowerRoman"/>
      <w:lvlText w:val="%3."/>
      <w:lvlJc w:val="right"/>
      <w:pPr>
        <w:ind w:left="2708" w:hanging="180"/>
      </w:pPr>
    </w:lvl>
    <w:lvl w:ilvl="3" w:tplc="0409000F" w:tentative="1">
      <w:start w:val="1"/>
      <w:numFmt w:val="decimal"/>
      <w:lvlText w:val="%4."/>
      <w:lvlJc w:val="left"/>
      <w:pPr>
        <w:ind w:left="3428" w:hanging="360"/>
      </w:pPr>
    </w:lvl>
    <w:lvl w:ilvl="4" w:tplc="04090019" w:tentative="1">
      <w:start w:val="1"/>
      <w:numFmt w:val="lowerLetter"/>
      <w:lvlText w:val="%5."/>
      <w:lvlJc w:val="left"/>
      <w:pPr>
        <w:ind w:left="4148" w:hanging="360"/>
      </w:pPr>
    </w:lvl>
    <w:lvl w:ilvl="5" w:tplc="0409001B" w:tentative="1">
      <w:start w:val="1"/>
      <w:numFmt w:val="lowerRoman"/>
      <w:lvlText w:val="%6."/>
      <w:lvlJc w:val="right"/>
      <w:pPr>
        <w:ind w:left="4868" w:hanging="180"/>
      </w:pPr>
    </w:lvl>
    <w:lvl w:ilvl="6" w:tplc="0409000F" w:tentative="1">
      <w:start w:val="1"/>
      <w:numFmt w:val="decimal"/>
      <w:lvlText w:val="%7."/>
      <w:lvlJc w:val="left"/>
      <w:pPr>
        <w:ind w:left="5588" w:hanging="360"/>
      </w:pPr>
    </w:lvl>
    <w:lvl w:ilvl="7" w:tplc="04090019" w:tentative="1">
      <w:start w:val="1"/>
      <w:numFmt w:val="lowerLetter"/>
      <w:lvlText w:val="%8."/>
      <w:lvlJc w:val="left"/>
      <w:pPr>
        <w:ind w:left="6308" w:hanging="360"/>
      </w:pPr>
    </w:lvl>
    <w:lvl w:ilvl="8" w:tplc="0409001B" w:tentative="1">
      <w:start w:val="1"/>
      <w:numFmt w:val="lowerRoman"/>
      <w:lvlText w:val="%9."/>
      <w:lvlJc w:val="right"/>
      <w:pPr>
        <w:ind w:left="7028" w:hanging="180"/>
      </w:pPr>
    </w:lvl>
  </w:abstractNum>
  <w:abstractNum w:abstractNumId="1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8" w15:restartNumberingAfterBreak="0">
    <w:nsid w:val="396B75F2"/>
    <w:multiLevelType w:val="multilevel"/>
    <w:tmpl w:val="355A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9E4E98"/>
    <w:multiLevelType w:val="multilevel"/>
    <w:tmpl w:val="E410C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A340C"/>
    <w:multiLevelType w:val="hybridMultilevel"/>
    <w:tmpl w:val="E0C6D014"/>
    <w:lvl w:ilvl="0" w:tplc="0B4A60AA">
      <w:start w:val="40"/>
      <w:numFmt w:val="decimal"/>
      <w:lvlText w:val="%1."/>
      <w:lvlJc w:val="left"/>
      <w:pPr>
        <w:ind w:left="1429"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5773F"/>
    <w:multiLevelType w:val="hybridMultilevel"/>
    <w:tmpl w:val="DD164C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C92E84"/>
    <w:multiLevelType w:val="multilevel"/>
    <w:tmpl w:val="C6FC39BE"/>
    <w:lvl w:ilvl="0">
      <w:start w:val="17"/>
      <w:numFmt w:val="decimal"/>
      <w:lvlText w:val="%1."/>
      <w:lvlJc w:val="left"/>
      <w:pPr>
        <w:tabs>
          <w:tab w:val="num" w:pos="644"/>
        </w:tabs>
        <w:ind w:left="644"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524C6D55"/>
    <w:multiLevelType w:val="multilevel"/>
    <w:tmpl w:val="68A84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6" w15:restartNumberingAfterBreak="0">
    <w:nsid w:val="552D57B2"/>
    <w:multiLevelType w:val="hybridMultilevel"/>
    <w:tmpl w:val="08FAC520"/>
    <w:lvl w:ilvl="0" w:tplc="AEF0CB00">
      <w:start w:val="32"/>
      <w:numFmt w:val="decimal"/>
      <w:lvlText w:val="%1."/>
      <w:lvlJc w:val="left"/>
      <w:pPr>
        <w:ind w:left="1429"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4359B2"/>
    <w:multiLevelType w:val="hybridMultilevel"/>
    <w:tmpl w:val="896C958E"/>
    <w:lvl w:ilvl="0" w:tplc="0809000F">
      <w:start w:val="1"/>
      <w:numFmt w:val="decimal"/>
      <w:lvlText w:val="%1."/>
      <w:lvlJc w:val="left"/>
      <w:pPr>
        <w:ind w:left="2059" w:hanging="360"/>
      </w:pPr>
    </w:lvl>
    <w:lvl w:ilvl="1" w:tplc="08090019" w:tentative="1">
      <w:start w:val="1"/>
      <w:numFmt w:val="lowerLetter"/>
      <w:lvlText w:val="%2."/>
      <w:lvlJc w:val="left"/>
      <w:pPr>
        <w:ind w:left="2779" w:hanging="360"/>
      </w:pPr>
    </w:lvl>
    <w:lvl w:ilvl="2" w:tplc="0809001B" w:tentative="1">
      <w:start w:val="1"/>
      <w:numFmt w:val="lowerRoman"/>
      <w:lvlText w:val="%3."/>
      <w:lvlJc w:val="right"/>
      <w:pPr>
        <w:ind w:left="3499" w:hanging="180"/>
      </w:pPr>
    </w:lvl>
    <w:lvl w:ilvl="3" w:tplc="0809000F" w:tentative="1">
      <w:start w:val="1"/>
      <w:numFmt w:val="decimal"/>
      <w:lvlText w:val="%4."/>
      <w:lvlJc w:val="left"/>
      <w:pPr>
        <w:ind w:left="4219" w:hanging="360"/>
      </w:pPr>
    </w:lvl>
    <w:lvl w:ilvl="4" w:tplc="08090019" w:tentative="1">
      <w:start w:val="1"/>
      <w:numFmt w:val="lowerLetter"/>
      <w:lvlText w:val="%5."/>
      <w:lvlJc w:val="left"/>
      <w:pPr>
        <w:ind w:left="4939" w:hanging="360"/>
      </w:pPr>
    </w:lvl>
    <w:lvl w:ilvl="5" w:tplc="0809001B" w:tentative="1">
      <w:start w:val="1"/>
      <w:numFmt w:val="lowerRoman"/>
      <w:lvlText w:val="%6."/>
      <w:lvlJc w:val="right"/>
      <w:pPr>
        <w:ind w:left="5659" w:hanging="180"/>
      </w:pPr>
    </w:lvl>
    <w:lvl w:ilvl="6" w:tplc="0809000F" w:tentative="1">
      <w:start w:val="1"/>
      <w:numFmt w:val="decimal"/>
      <w:lvlText w:val="%7."/>
      <w:lvlJc w:val="left"/>
      <w:pPr>
        <w:ind w:left="6379" w:hanging="360"/>
      </w:pPr>
    </w:lvl>
    <w:lvl w:ilvl="7" w:tplc="08090019" w:tentative="1">
      <w:start w:val="1"/>
      <w:numFmt w:val="lowerLetter"/>
      <w:lvlText w:val="%8."/>
      <w:lvlJc w:val="left"/>
      <w:pPr>
        <w:ind w:left="7099" w:hanging="360"/>
      </w:pPr>
    </w:lvl>
    <w:lvl w:ilvl="8" w:tplc="0809001B" w:tentative="1">
      <w:start w:val="1"/>
      <w:numFmt w:val="lowerRoman"/>
      <w:lvlText w:val="%9."/>
      <w:lvlJc w:val="right"/>
      <w:pPr>
        <w:ind w:left="7819" w:hanging="180"/>
      </w:pPr>
    </w:lvl>
  </w:abstractNum>
  <w:abstractNum w:abstractNumId="28" w15:restartNumberingAfterBreak="0">
    <w:nsid w:val="58DD5D85"/>
    <w:multiLevelType w:val="hybridMultilevel"/>
    <w:tmpl w:val="A72856E6"/>
    <w:lvl w:ilvl="0" w:tplc="429E3C66">
      <w:start w:val="7"/>
      <w:numFmt w:val="decimal"/>
      <w:lvlText w:val="%1."/>
      <w:lvlJc w:val="left"/>
      <w:pPr>
        <w:ind w:left="1429" w:hanging="360"/>
      </w:pPr>
      <w:rPr>
        <w:rFonts w:hint="default"/>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9" w15:restartNumberingAfterBreak="0">
    <w:nsid w:val="595D1978"/>
    <w:multiLevelType w:val="hybridMultilevel"/>
    <w:tmpl w:val="88F0DB2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7B0B95"/>
    <w:multiLevelType w:val="hybridMultilevel"/>
    <w:tmpl w:val="EBAA8A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101348"/>
    <w:multiLevelType w:val="multilevel"/>
    <w:tmpl w:val="76AAF82E"/>
    <w:lvl w:ilvl="0">
      <w:start w:val="3"/>
      <w:numFmt w:val="decimal"/>
      <w:lvlText w:val="%1."/>
      <w:lvlJc w:val="left"/>
      <w:pPr>
        <w:tabs>
          <w:tab w:val="num" w:pos="644"/>
        </w:tabs>
        <w:ind w:left="644"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66405F76"/>
    <w:multiLevelType w:val="multilevel"/>
    <w:tmpl w:val="1BBC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012E46"/>
    <w:multiLevelType w:val="hybridMultilevel"/>
    <w:tmpl w:val="7946DCD0"/>
    <w:lvl w:ilvl="0" w:tplc="5C06B1C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47480E"/>
    <w:multiLevelType w:val="hybridMultilevel"/>
    <w:tmpl w:val="2F10D118"/>
    <w:lvl w:ilvl="0" w:tplc="7E4234E8">
      <w:start w:val="41"/>
      <w:numFmt w:val="decimal"/>
      <w:lvlText w:val="%1."/>
      <w:lvlJc w:val="left"/>
      <w:pPr>
        <w:ind w:left="1429"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CA5CAD"/>
    <w:multiLevelType w:val="hybridMultilevel"/>
    <w:tmpl w:val="1708E8B6"/>
    <w:numStyleLink w:val="ImportedStyle1"/>
  </w:abstractNum>
  <w:abstractNum w:abstractNumId="37" w15:restartNumberingAfterBreak="0">
    <w:nsid w:val="76311A3B"/>
    <w:multiLevelType w:val="hybridMultilevel"/>
    <w:tmpl w:val="5EB4AE68"/>
    <w:lvl w:ilvl="0" w:tplc="42505D7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38" w15:restartNumberingAfterBreak="0">
    <w:nsid w:val="77DD19E1"/>
    <w:multiLevelType w:val="hybridMultilevel"/>
    <w:tmpl w:val="E82C9436"/>
    <w:lvl w:ilvl="0" w:tplc="78B09D8E">
      <w:start w:val="1"/>
      <w:numFmt w:val="decimal"/>
      <w:lvlText w:val="%1)"/>
      <w:lvlJc w:val="left"/>
      <w:pPr>
        <w:ind w:left="720" w:hanging="360"/>
      </w:pPr>
    </w:lvl>
    <w:lvl w:ilvl="1" w:tplc="D252245C">
      <w:start w:val="1"/>
      <w:numFmt w:val="decimal"/>
      <w:lvlText w:val="%2)"/>
      <w:lvlJc w:val="left"/>
      <w:pPr>
        <w:ind w:left="720" w:hanging="360"/>
      </w:pPr>
    </w:lvl>
    <w:lvl w:ilvl="2" w:tplc="375AE020">
      <w:start w:val="1"/>
      <w:numFmt w:val="decimal"/>
      <w:lvlText w:val="%3)"/>
      <w:lvlJc w:val="left"/>
      <w:pPr>
        <w:ind w:left="720" w:hanging="360"/>
      </w:pPr>
    </w:lvl>
    <w:lvl w:ilvl="3" w:tplc="B3822E2E">
      <w:start w:val="1"/>
      <w:numFmt w:val="decimal"/>
      <w:lvlText w:val="%4)"/>
      <w:lvlJc w:val="left"/>
      <w:pPr>
        <w:ind w:left="720" w:hanging="360"/>
      </w:pPr>
    </w:lvl>
    <w:lvl w:ilvl="4" w:tplc="1CFE997A">
      <w:start w:val="1"/>
      <w:numFmt w:val="decimal"/>
      <w:lvlText w:val="%5)"/>
      <w:lvlJc w:val="left"/>
      <w:pPr>
        <w:ind w:left="720" w:hanging="360"/>
      </w:pPr>
    </w:lvl>
    <w:lvl w:ilvl="5" w:tplc="80F6BD0E">
      <w:start w:val="1"/>
      <w:numFmt w:val="decimal"/>
      <w:lvlText w:val="%6)"/>
      <w:lvlJc w:val="left"/>
      <w:pPr>
        <w:ind w:left="720" w:hanging="360"/>
      </w:pPr>
    </w:lvl>
    <w:lvl w:ilvl="6" w:tplc="4E42B93A">
      <w:start w:val="1"/>
      <w:numFmt w:val="decimal"/>
      <w:lvlText w:val="%7)"/>
      <w:lvlJc w:val="left"/>
      <w:pPr>
        <w:ind w:left="720" w:hanging="360"/>
      </w:pPr>
    </w:lvl>
    <w:lvl w:ilvl="7" w:tplc="6CDEF460">
      <w:start w:val="1"/>
      <w:numFmt w:val="decimal"/>
      <w:lvlText w:val="%8)"/>
      <w:lvlJc w:val="left"/>
      <w:pPr>
        <w:ind w:left="720" w:hanging="360"/>
      </w:pPr>
    </w:lvl>
    <w:lvl w:ilvl="8" w:tplc="B39047DE">
      <w:start w:val="1"/>
      <w:numFmt w:val="decimal"/>
      <w:lvlText w:val="%9)"/>
      <w:lvlJc w:val="left"/>
      <w:pPr>
        <w:ind w:left="720" w:hanging="360"/>
      </w:pPr>
    </w:lvl>
  </w:abstractNum>
  <w:abstractNum w:abstractNumId="39" w15:restartNumberingAfterBreak="0">
    <w:nsid w:val="78A05955"/>
    <w:multiLevelType w:val="hybridMultilevel"/>
    <w:tmpl w:val="08AAD8C6"/>
    <w:lvl w:ilvl="0" w:tplc="95C8AB9C">
      <w:start w:val="1"/>
      <w:numFmt w:val="decimal"/>
      <w:lvlText w:val="(%1)"/>
      <w:lvlJc w:val="left"/>
      <w:pPr>
        <w:ind w:left="972" w:hanging="360"/>
      </w:pPr>
      <w:rPr>
        <w:rFonts w:hint="default"/>
      </w:rPr>
    </w:lvl>
    <w:lvl w:ilvl="1" w:tplc="08090019" w:tentative="1">
      <w:start w:val="1"/>
      <w:numFmt w:val="lowerLetter"/>
      <w:lvlText w:val="%2."/>
      <w:lvlJc w:val="left"/>
      <w:pPr>
        <w:ind w:left="1692" w:hanging="360"/>
      </w:pPr>
    </w:lvl>
    <w:lvl w:ilvl="2" w:tplc="0809001B" w:tentative="1">
      <w:start w:val="1"/>
      <w:numFmt w:val="lowerRoman"/>
      <w:lvlText w:val="%3."/>
      <w:lvlJc w:val="right"/>
      <w:pPr>
        <w:ind w:left="2412" w:hanging="180"/>
      </w:pPr>
    </w:lvl>
    <w:lvl w:ilvl="3" w:tplc="0809000F" w:tentative="1">
      <w:start w:val="1"/>
      <w:numFmt w:val="decimal"/>
      <w:lvlText w:val="%4."/>
      <w:lvlJc w:val="left"/>
      <w:pPr>
        <w:ind w:left="3132" w:hanging="360"/>
      </w:pPr>
    </w:lvl>
    <w:lvl w:ilvl="4" w:tplc="08090019" w:tentative="1">
      <w:start w:val="1"/>
      <w:numFmt w:val="lowerLetter"/>
      <w:lvlText w:val="%5."/>
      <w:lvlJc w:val="left"/>
      <w:pPr>
        <w:ind w:left="3852" w:hanging="360"/>
      </w:pPr>
    </w:lvl>
    <w:lvl w:ilvl="5" w:tplc="0809001B" w:tentative="1">
      <w:start w:val="1"/>
      <w:numFmt w:val="lowerRoman"/>
      <w:lvlText w:val="%6."/>
      <w:lvlJc w:val="right"/>
      <w:pPr>
        <w:ind w:left="4572" w:hanging="180"/>
      </w:pPr>
    </w:lvl>
    <w:lvl w:ilvl="6" w:tplc="0809000F" w:tentative="1">
      <w:start w:val="1"/>
      <w:numFmt w:val="decimal"/>
      <w:lvlText w:val="%7."/>
      <w:lvlJc w:val="left"/>
      <w:pPr>
        <w:ind w:left="5292" w:hanging="360"/>
      </w:pPr>
    </w:lvl>
    <w:lvl w:ilvl="7" w:tplc="08090019" w:tentative="1">
      <w:start w:val="1"/>
      <w:numFmt w:val="lowerLetter"/>
      <w:lvlText w:val="%8."/>
      <w:lvlJc w:val="left"/>
      <w:pPr>
        <w:ind w:left="6012" w:hanging="360"/>
      </w:pPr>
    </w:lvl>
    <w:lvl w:ilvl="8" w:tplc="0809001B" w:tentative="1">
      <w:start w:val="1"/>
      <w:numFmt w:val="lowerRoman"/>
      <w:lvlText w:val="%9."/>
      <w:lvlJc w:val="right"/>
      <w:pPr>
        <w:ind w:left="6732" w:hanging="180"/>
      </w:pPr>
    </w:lvl>
  </w:abstractNum>
  <w:abstractNum w:abstractNumId="40" w15:restartNumberingAfterBreak="0">
    <w:nsid w:val="79981534"/>
    <w:multiLevelType w:val="hybridMultilevel"/>
    <w:tmpl w:val="240671B8"/>
    <w:lvl w:ilvl="0" w:tplc="75D851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D03BD"/>
    <w:multiLevelType w:val="hybridMultilevel"/>
    <w:tmpl w:val="1F1CF742"/>
    <w:lvl w:ilvl="0" w:tplc="91981008">
      <w:start w:val="58"/>
      <w:numFmt w:val="decimal"/>
      <w:lvlText w:val="%1."/>
      <w:lvlJc w:val="left"/>
      <w:pPr>
        <w:ind w:left="1429"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4073250">
    <w:abstractNumId w:val="11"/>
  </w:num>
  <w:num w:numId="2" w16cid:durableId="1814564387">
    <w:abstractNumId w:val="17"/>
  </w:num>
  <w:num w:numId="3" w16cid:durableId="49380630">
    <w:abstractNumId w:val="9"/>
  </w:num>
  <w:num w:numId="4" w16cid:durableId="14994952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2436729">
    <w:abstractNumId w:val="12"/>
  </w:num>
  <w:num w:numId="6" w16cid:durableId="1347171791">
    <w:abstractNumId w:val="25"/>
  </w:num>
  <w:num w:numId="7" w16cid:durableId="1597203870">
    <w:abstractNumId w:val="5"/>
  </w:num>
  <w:num w:numId="8" w16cid:durableId="202987255">
    <w:abstractNumId w:val="34"/>
  </w:num>
  <w:num w:numId="9" w16cid:durableId="114157427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102259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620814">
    <w:abstractNumId w:val="3"/>
  </w:num>
  <w:num w:numId="12" w16cid:durableId="1806968620">
    <w:abstractNumId w:val="24"/>
  </w:num>
  <w:num w:numId="13" w16cid:durableId="147718760">
    <w:abstractNumId w:val="4"/>
  </w:num>
  <w:num w:numId="14" w16cid:durableId="1398475386">
    <w:abstractNumId w:val="37"/>
  </w:num>
  <w:num w:numId="15" w16cid:durableId="1232304920">
    <w:abstractNumId w:val="33"/>
  </w:num>
  <w:num w:numId="16" w16cid:durableId="775295240">
    <w:abstractNumId w:val="13"/>
  </w:num>
  <w:num w:numId="17" w16cid:durableId="723066132">
    <w:abstractNumId w:val="39"/>
  </w:num>
  <w:num w:numId="18" w16cid:durableId="297802219">
    <w:abstractNumId w:val="27"/>
  </w:num>
  <w:num w:numId="19" w16cid:durableId="757599562">
    <w:abstractNumId w:val="16"/>
  </w:num>
  <w:num w:numId="20" w16cid:durableId="2055350753">
    <w:abstractNumId w:val="15"/>
  </w:num>
  <w:num w:numId="21" w16cid:durableId="205073012">
    <w:abstractNumId w:val="36"/>
  </w:num>
  <w:num w:numId="22" w16cid:durableId="1915316725">
    <w:abstractNumId w:val="36"/>
    <w:lvlOverride w:ilvl="0">
      <w:lvl w:ilvl="0" w:tplc="8C4E1EFE">
        <w:start w:val="1"/>
        <w:numFmt w:val="decimal"/>
        <w:lvlText w:val="%1."/>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70695F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699882C6">
        <w:start w:val="1"/>
        <w:numFmt w:val="lowerRoman"/>
        <w:lvlText w:val="%3."/>
        <w:lvlJc w:val="left"/>
        <w:pPr>
          <w:ind w:left="216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964EE8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4FCEE6C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0938FE78">
        <w:start w:val="1"/>
        <w:numFmt w:val="lowerRoman"/>
        <w:lvlText w:val="%6."/>
        <w:lvlJc w:val="left"/>
        <w:pPr>
          <w:ind w:left="432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DC2C276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7D64FA2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54EC53F0">
        <w:start w:val="1"/>
        <w:numFmt w:val="lowerRoman"/>
        <w:lvlText w:val="%9."/>
        <w:lvlJc w:val="left"/>
        <w:pPr>
          <w:ind w:left="6480" w:hanging="3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16cid:durableId="69547920">
    <w:abstractNumId w:val="6"/>
  </w:num>
  <w:num w:numId="24" w16cid:durableId="468547265">
    <w:abstractNumId w:val="40"/>
  </w:num>
  <w:num w:numId="25" w16cid:durableId="1947425424">
    <w:abstractNumId w:val="2"/>
  </w:num>
  <w:num w:numId="26" w16cid:durableId="171916164">
    <w:abstractNumId w:val="0"/>
  </w:num>
  <w:num w:numId="27" w16cid:durableId="1203516326">
    <w:abstractNumId w:val="21"/>
  </w:num>
  <w:num w:numId="28" w16cid:durableId="976186850">
    <w:abstractNumId w:val="29"/>
  </w:num>
  <w:num w:numId="29" w16cid:durableId="1896239812">
    <w:abstractNumId w:val="10"/>
  </w:num>
  <w:num w:numId="30" w16cid:durableId="1987513903">
    <w:abstractNumId w:val="1"/>
  </w:num>
  <w:num w:numId="31" w16cid:durableId="955913780">
    <w:abstractNumId w:val="31"/>
  </w:num>
  <w:num w:numId="32" w16cid:durableId="2132741183">
    <w:abstractNumId w:val="28"/>
  </w:num>
  <w:num w:numId="33" w16cid:durableId="1763380079">
    <w:abstractNumId w:val="23"/>
  </w:num>
  <w:num w:numId="34" w16cid:durableId="1210654105">
    <w:abstractNumId w:val="18"/>
  </w:num>
  <w:num w:numId="35" w16cid:durableId="404839862">
    <w:abstractNumId w:val="32"/>
  </w:num>
  <w:num w:numId="36" w16cid:durableId="1092824298">
    <w:abstractNumId w:val="38"/>
  </w:num>
  <w:num w:numId="37" w16cid:durableId="726808052">
    <w:abstractNumId w:val="41"/>
  </w:num>
  <w:num w:numId="38" w16cid:durableId="1604653963">
    <w:abstractNumId w:val="20"/>
  </w:num>
  <w:num w:numId="39" w16cid:durableId="1814325410">
    <w:abstractNumId w:val="35"/>
  </w:num>
  <w:num w:numId="40" w16cid:durableId="279072161">
    <w:abstractNumId w:val="22"/>
  </w:num>
  <w:num w:numId="41" w16cid:durableId="12269397">
    <w:abstractNumId w:val="14"/>
  </w:num>
  <w:num w:numId="42" w16cid:durableId="211885564">
    <w:abstractNumId w:val="19"/>
  </w:num>
  <w:num w:numId="43" w16cid:durableId="1878352882">
    <w:abstractNumId w:val="8"/>
  </w:num>
  <w:num w:numId="44" w16cid:durableId="1084648263">
    <w:abstractNumId w:val="30"/>
  </w:num>
  <w:num w:numId="45" w16cid:durableId="995572951">
    <w:abstractNumId w:val="26"/>
  </w:num>
  <w:num w:numId="46" w16cid:durableId="20211594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cwMjY0MDc3MTKwMDZX0lEKTi0uzszPAymwrAUAgvvinywAAAA="/>
    <w:docVar w:name="EN.InstantFormat" w:val="&lt;ENInstantFormat&gt;&lt;Enabled&gt;1&lt;/Enabled&gt;&lt;ScanUnformatted&gt;1&lt;/ScanUnformatted&gt;&lt;ScanChanges&gt;1&lt;/ScanChanges&gt;&lt;Suspended&gt;1&lt;/Suspended&gt;&lt;/ENInstantFormat&gt;"/>
    <w:docVar w:name="EN.Layout" w:val="&lt;ENLayout&gt;&lt;Style&gt;Annotated&lt;/Style&gt;&lt;LeftDelim&gt;{&lt;/LeftDelim&gt;&lt;RightDelim&gt;}&lt;/RightDelim&gt;&lt;FontName&gt;Palatino Linotype&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AD30DC"/>
    <w:rsid w:val="00001726"/>
    <w:rsid w:val="000023C9"/>
    <w:rsid w:val="000038E2"/>
    <w:rsid w:val="00013380"/>
    <w:rsid w:val="000135C5"/>
    <w:rsid w:val="00014CE4"/>
    <w:rsid w:val="00016703"/>
    <w:rsid w:val="00025A85"/>
    <w:rsid w:val="00025B16"/>
    <w:rsid w:val="00031F41"/>
    <w:rsid w:val="00037CB5"/>
    <w:rsid w:val="00042A3A"/>
    <w:rsid w:val="00042E53"/>
    <w:rsid w:val="000450F9"/>
    <w:rsid w:val="00047B2B"/>
    <w:rsid w:val="0006022A"/>
    <w:rsid w:val="00060C12"/>
    <w:rsid w:val="00063DF5"/>
    <w:rsid w:val="000642EF"/>
    <w:rsid w:val="00065B6B"/>
    <w:rsid w:val="00065BD2"/>
    <w:rsid w:val="0007012F"/>
    <w:rsid w:val="00070734"/>
    <w:rsid w:val="00072ACC"/>
    <w:rsid w:val="00073477"/>
    <w:rsid w:val="00074A3C"/>
    <w:rsid w:val="00074CBF"/>
    <w:rsid w:val="000800B1"/>
    <w:rsid w:val="00083CB1"/>
    <w:rsid w:val="0008697E"/>
    <w:rsid w:val="0009103B"/>
    <w:rsid w:val="00092EA6"/>
    <w:rsid w:val="00095D83"/>
    <w:rsid w:val="0009673B"/>
    <w:rsid w:val="00096AF5"/>
    <w:rsid w:val="000A0CE6"/>
    <w:rsid w:val="000A1A67"/>
    <w:rsid w:val="000A34F7"/>
    <w:rsid w:val="000A4156"/>
    <w:rsid w:val="000A59FF"/>
    <w:rsid w:val="000A748E"/>
    <w:rsid w:val="000B02A4"/>
    <w:rsid w:val="000B4CB2"/>
    <w:rsid w:val="000B51BC"/>
    <w:rsid w:val="000B590F"/>
    <w:rsid w:val="000B5DB5"/>
    <w:rsid w:val="000C10A8"/>
    <w:rsid w:val="000C1294"/>
    <w:rsid w:val="000C33F9"/>
    <w:rsid w:val="000C4583"/>
    <w:rsid w:val="000C68A0"/>
    <w:rsid w:val="000C79B5"/>
    <w:rsid w:val="000D0414"/>
    <w:rsid w:val="000D269D"/>
    <w:rsid w:val="000D28E1"/>
    <w:rsid w:val="000D4F96"/>
    <w:rsid w:val="000E00A2"/>
    <w:rsid w:val="000E12B0"/>
    <w:rsid w:val="000E33B3"/>
    <w:rsid w:val="000E5933"/>
    <w:rsid w:val="000E5DAF"/>
    <w:rsid w:val="000F1980"/>
    <w:rsid w:val="000F68D4"/>
    <w:rsid w:val="001042E9"/>
    <w:rsid w:val="00110076"/>
    <w:rsid w:val="00112697"/>
    <w:rsid w:val="00114352"/>
    <w:rsid w:val="001147FC"/>
    <w:rsid w:val="0012346D"/>
    <w:rsid w:val="001270FF"/>
    <w:rsid w:val="00131565"/>
    <w:rsid w:val="00131CAD"/>
    <w:rsid w:val="001338C2"/>
    <w:rsid w:val="00136D4E"/>
    <w:rsid w:val="00140628"/>
    <w:rsid w:val="00143034"/>
    <w:rsid w:val="00150C33"/>
    <w:rsid w:val="00156382"/>
    <w:rsid w:val="001579B9"/>
    <w:rsid w:val="001660CF"/>
    <w:rsid w:val="00171D89"/>
    <w:rsid w:val="0017344F"/>
    <w:rsid w:val="00173CBF"/>
    <w:rsid w:val="00180C43"/>
    <w:rsid w:val="00182F96"/>
    <w:rsid w:val="00183040"/>
    <w:rsid w:val="00184019"/>
    <w:rsid w:val="00185EC8"/>
    <w:rsid w:val="00191893"/>
    <w:rsid w:val="00191A55"/>
    <w:rsid w:val="001964E2"/>
    <w:rsid w:val="00196B6C"/>
    <w:rsid w:val="001A145D"/>
    <w:rsid w:val="001A5494"/>
    <w:rsid w:val="001B08B3"/>
    <w:rsid w:val="001B5767"/>
    <w:rsid w:val="001C0176"/>
    <w:rsid w:val="001C0C57"/>
    <w:rsid w:val="001C5718"/>
    <w:rsid w:val="001D00A1"/>
    <w:rsid w:val="001D011A"/>
    <w:rsid w:val="001D425E"/>
    <w:rsid w:val="001D7348"/>
    <w:rsid w:val="001E03D5"/>
    <w:rsid w:val="001E10B7"/>
    <w:rsid w:val="001E6239"/>
    <w:rsid w:val="001E653C"/>
    <w:rsid w:val="001E78FA"/>
    <w:rsid w:val="001F02A5"/>
    <w:rsid w:val="001F048B"/>
    <w:rsid w:val="001F6467"/>
    <w:rsid w:val="001F6ADE"/>
    <w:rsid w:val="001F7448"/>
    <w:rsid w:val="001F794A"/>
    <w:rsid w:val="00201A41"/>
    <w:rsid w:val="00201A7D"/>
    <w:rsid w:val="0020274D"/>
    <w:rsid w:val="0020313C"/>
    <w:rsid w:val="00221923"/>
    <w:rsid w:val="002251F3"/>
    <w:rsid w:val="002252FF"/>
    <w:rsid w:val="00225652"/>
    <w:rsid w:val="00225F7A"/>
    <w:rsid w:val="00227C6A"/>
    <w:rsid w:val="00230CBC"/>
    <w:rsid w:val="0023354A"/>
    <w:rsid w:val="0023363C"/>
    <w:rsid w:val="00236B69"/>
    <w:rsid w:val="00237DC5"/>
    <w:rsid w:val="002445EB"/>
    <w:rsid w:val="00244C7B"/>
    <w:rsid w:val="00245D6D"/>
    <w:rsid w:val="00246272"/>
    <w:rsid w:val="00246806"/>
    <w:rsid w:val="002527A1"/>
    <w:rsid w:val="002544C4"/>
    <w:rsid w:val="002623A9"/>
    <w:rsid w:val="00264F4D"/>
    <w:rsid w:val="002669E0"/>
    <w:rsid w:val="00271A71"/>
    <w:rsid w:val="00272456"/>
    <w:rsid w:val="00275B91"/>
    <w:rsid w:val="00285B1B"/>
    <w:rsid w:val="0028720F"/>
    <w:rsid w:val="00290935"/>
    <w:rsid w:val="00291D0F"/>
    <w:rsid w:val="002945B1"/>
    <w:rsid w:val="0029618C"/>
    <w:rsid w:val="002A0B9C"/>
    <w:rsid w:val="002A4F9B"/>
    <w:rsid w:val="002A5FF8"/>
    <w:rsid w:val="002B0326"/>
    <w:rsid w:val="002C437B"/>
    <w:rsid w:val="002C4835"/>
    <w:rsid w:val="002C4E30"/>
    <w:rsid w:val="002C57D2"/>
    <w:rsid w:val="002D2C2F"/>
    <w:rsid w:val="002D4E76"/>
    <w:rsid w:val="002D54EB"/>
    <w:rsid w:val="002D64B4"/>
    <w:rsid w:val="002D7E4D"/>
    <w:rsid w:val="002F103C"/>
    <w:rsid w:val="002F2491"/>
    <w:rsid w:val="002F285E"/>
    <w:rsid w:val="002F666A"/>
    <w:rsid w:val="002F70CD"/>
    <w:rsid w:val="00303683"/>
    <w:rsid w:val="0030531D"/>
    <w:rsid w:val="00305C8F"/>
    <w:rsid w:val="00306DBB"/>
    <w:rsid w:val="00306F79"/>
    <w:rsid w:val="00311066"/>
    <w:rsid w:val="0031484A"/>
    <w:rsid w:val="00316AF3"/>
    <w:rsid w:val="00320251"/>
    <w:rsid w:val="0032087E"/>
    <w:rsid w:val="00323F06"/>
    <w:rsid w:val="00331AB4"/>
    <w:rsid w:val="0033328F"/>
    <w:rsid w:val="00333866"/>
    <w:rsid w:val="003356EE"/>
    <w:rsid w:val="00336158"/>
    <w:rsid w:val="00336F7A"/>
    <w:rsid w:val="00337BA0"/>
    <w:rsid w:val="00340AD8"/>
    <w:rsid w:val="00341E78"/>
    <w:rsid w:val="003433DC"/>
    <w:rsid w:val="00351F4D"/>
    <w:rsid w:val="00352200"/>
    <w:rsid w:val="003522E4"/>
    <w:rsid w:val="00353ED4"/>
    <w:rsid w:val="003546BF"/>
    <w:rsid w:val="003641CD"/>
    <w:rsid w:val="0036472A"/>
    <w:rsid w:val="00364C4D"/>
    <w:rsid w:val="00372437"/>
    <w:rsid w:val="00374C08"/>
    <w:rsid w:val="003754B7"/>
    <w:rsid w:val="00376BE8"/>
    <w:rsid w:val="003808B2"/>
    <w:rsid w:val="003812C1"/>
    <w:rsid w:val="00381845"/>
    <w:rsid w:val="003859FE"/>
    <w:rsid w:val="003902AE"/>
    <w:rsid w:val="003918B3"/>
    <w:rsid w:val="003920BF"/>
    <w:rsid w:val="00392B56"/>
    <w:rsid w:val="003945C1"/>
    <w:rsid w:val="00395542"/>
    <w:rsid w:val="00395CCF"/>
    <w:rsid w:val="00397359"/>
    <w:rsid w:val="003A1425"/>
    <w:rsid w:val="003A38F7"/>
    <w:rsid w:val="003A63F5"/>
    <w:rsid w:val="003A6EE9"/>
    <w:rsid w:val="003B0839"/>
    <w:rsid w:val="003B102D"/>
    <w:rsid w:val="003B2A16"/>
    <w:rsid w:val="003B3227"/>
    <w:rsid w:val="003B3BC8"/>
    <w:rsid w:val="003B48E4"/>
    <w:rsid w:val="003C1873"/>
    <w:rsid w:val="003C5363"/>
    <w:rsid w:val="003C53EC"/>
    <w:rsid w:val="003C7D73"/>
    <w:rsid w:val="003C7DF0"/>
    <w:rsid w:val="003D0BED"/>
    <w:rsid w:val="003E44A0"/>
    <w:rsid w:val="003E7DE1"/>
    <w:rsid w:val="003F01AD"/>
    <w:rsid w:val="003F0587"/>
    <w:rsid w:val="003F4AB3"/>
    <w:rsid w:val="003F5F85"/>
    <w:rsid w:val="003F61FD"/>
    <w:rsid w:val="003F63BB"/>
    <w:rsid w:val="00401945"/>
    <w:rsid w:val="00402C5F"/>
    <w:rsid w:val="004036F7"/>
    <w:rsid w:val="004037A4"/>
    <w:rsid w:val="00403D24"/>
    <w:rsid w:val="0040484C"/>
    <w:rsid w:val="00411515"/>
    <w:rsid w:val="004132D6"/>
    <w:rsid w:val="00415B59"/>
    <w:rsid w:val="00415E29"/>
    <w:rsid w:val="004230C8"/>
    <w:rsid w:val="00424A4E"/>
    <w:rsid w:val="0042630D"/>
    <w:rsid w:val="004278EB"/>
    <w:rsid w:val="004352A9"/>
    <w:rsid w:val="00451330"/>
    <w:rsid w:val="00452CB0"/>
    <w:rsid w:val="004568C2"/>
    <w:rsid w:val="00456BFE"/>
    <w:rsid w:val="00457B35"/>
    <w:rsid w:val="00457BB4"/>
    <w:rsid w:val="0046439D"/>
    <w:rsid w:val="00466852"/>
    <w:rsid w:val="00470DC0"/>
    <w:rsid w:val="00473B92"/>
    <w:rsid w:val="004765DB"/>
    <w:rsid w:val="004800C3"/>
    <w:rsid w:val="00481A63"/>
    <w:rsid w:val="00482688"/>
    <w:rsid w:val="004832F4"/>
    <w:rsid w:val="004842C9"/>
    <w:rsid w:val="004905FA"/>
    <w:rsid w:val="004908FE"/>
    <w:rsid w:val="004910D1"/>
    <w:rsid w:val="004942AD"/>
    <w:rsid w:val="00495D17"/>
    <w:rsid w:val="004962C6"/>
    <w:rsid w:val="00496B44"/>
    <w:rsid w:val="004A02A0"/>
    <w:rsid w:val="004A1FEA"/>
    <w:rsid w:val="004A3903"/>
    <w:rsid w:val="004A3E2F"/>
    <w:rsid w:val="004A43EB"/>
    <w:rsid w:val="004A5DD2"/>
    <w:rsid w:val="004B2653"/>
    <w:rsid w:val="004B587B"/>
    <w:rsid w:val="004B5B32"/>
    <w:rsid w:val="004B5F22"/>
    <w:rsid w:val="004C0F12"/>
    <w:rsid w:val="004C5019"/>
    <w:rsid w:val="004C533C"/>
    <w:rsid w:val="004C67A6"/>
    <w:rsid w:val="004D115D"/>
    <w:rsid w:val="004D5DB9"/>
    <w:rsid w:val="004D69FA"/>
    <w:rsid w:val="004D73F1"/>
    <w:rsid w:val="004D7E0A"/>
    <w:rsid w:val="004E2495"/>
    <w:rsid w:val="004E3216"/>
    <w:rsid w:val="004F028C"/>
    <w:rsid w:val="004F0DE4"/>
    <w:rsid w:val="004F231B"/>
    <w:rsid w:val="004F7560"/>
    <w:rsid w:val="005004E1"/>
    <w:rsid w:val="00503AB0"/>
    <w:rsid w:val="00503C1E"/>
    <w:rsid w:val="0050691A"/>
    <w:rsid w:val="00510753"/>
    <w:rsid w:val="005119F9"/>
    <w:rsid w:val="00512309"/>
    <w:rsid w:val="005147DA"/>
    <w:rsid w:val="0052602C"/>
    <w:rsid w:val="0052645F"/>
    <w:rsid w:val="0053130A"/>
    <w:rsid w:val="00532E75"/>
    <w:rsid w:val="005332E1"/>
    <w:rsid w:val="005343B4"/>
    <w:rsid w:val="00535511"/>
    <w:rsid w:val="005359BA"/>
    <w:rsid w:val="00535DC3"/>
    <w:rsid w:val="00545417"/>
    <w:rsid w:val="0054740E"/>
    <w:rsid w:val="005530A3"/>
    <w:rsid w:val="00553212"/>
    <w:rsid w:val="005545DE"/>
    <w:rsid w:val="00554DD8"/>
    <w:rsid w:val="005552BE"/>
    <w:rsid w:val="005567CB"/>
    <w:rsid w:val="00560D76"/>
    <w:rsid w:val="00562906"/>
    <w:rsid w:val="00571EA2"/>
    <w:rsid w:val="00577052"/>
    <w:rsid w:val="00582A5C"/>
    <w:rsid w:val="00585E60"/>
    <w:rsid w:val="005918FE"/>
    <w:rsid w:val="005919D7"/>
    <w:rsid w:val="00592420"/>
    <w:rsid w:val="00595A72"/>
    <w:rsid w:val="005A05D4"/>
    <w:rsid w:val="005B3D6E"/>
    <w:rsid w:val="005B3DB1"/>
    <w:rsid w:val="005B4010"/>
    <w:rsid w:val="005B4C6C"/>
    <w:rsid w:val="005B6F5D"/>
    <w:rsid w:val="005C1F78"/>
    <w:rsid w:val="005D0045"/>
    <w:rsid w:val="005D0372"/>
    <w:rsid w:val="005D0466"/>
    <w:rsid w:val="005D3C6D"/>
    <w:rsid w:val="005D6451"/>
    <w:rsid w:val="005E0025"/>
    <w:rsid w:val="005E01EA"/>
    <w:rsid w:val="005E0E45"/>
    <w:rsid w:val="005E1CA8"/>
    <w:rsid w:val="005E1EC4"/>
    <w:rsid w:val="005E2235"/>
    <w:rsid w:val="005E2925"/>
    <w:rsid w:val="005E2C3B"/>
    <w:rsid w:val="005E3940"/>
    <w:rsid w:val="005E46D1"/>
    <w:rsid w:val="005F1467"/>
    <w:rsid w:val="005F17A5"/>
    <w:rsid w:val="005F479B"/>
    <w:rsid w:val="0060021B"/>
    <w:rsid w:val="006009B9"/>
    <w:rsid w:val="006023EB"/>
    <w:rsid w:val="006042A3"/>
    <w:rsid w:val="00604F70"/>
    <w:rsid w:val="00606A6B"/>
    <w:rsid w:val="0060738C"/>
    <w:rsid w:val="006103AF"/>
    <w:rsid w:val="00612C0B"/>
    <w:rsid w:val="00613DC5"/>
    <w:rsid w:val="00616586"/>
    <w:rsid w:val="0062003D"/>
    <w:rsid w:val="006218BD"/>
    <w:rsid w:val="006236A5"/>
    <w:rsid w:val="00633731"/>
    <w:rsid w:val="0063422E"/>
    <w:rsid w:val="00634396"/>
    <w:rsid w:val="006361E8"/>
    <w:rsid w:val="006378E3"/>
    <w:rsid w:val="00640A3D"/>
    <w:rsid w:val="00644990"/>
    <w:rsid w:val="0064642C"/>
    <w:rsid w:val="00646F3D"/>
    <w:rsid w:val="00657AE7"/>
    <w:rsid w:val="00657CEA"/>
    <w:rsid w:val="00660D0F"/>
    <w:rsid w:val="006657E2"/>
    <w:rsid w:val="006705C9"/>
    <w:rsid w:val="00670809"/>
    <w:rsid w:val="00676BA3"/>
    <w:rsid w:val="006802FC"/>
    <w:rsid w:val="00682744"/>
    <w:rsid w:val="006843DC"/>
    <w:rsid w:val="00684623"/>
    <w:rsid w:val="00684F8B"/>
    <w:rsid w:val="00690004"/>
    <w:rsid w:val="00692063"/>
    <w:rsid w:val="006950AE"/>
    <w:rsid w:val="006A20D8"/>
    <w:rsid w:val="006A27E4"/>
    <w:rsid w:val="006A414A"/>
    <w:rsid w:val="006B0BDF"/>
    <w:rsid w:val="006B7F60"/>
    <w:rsid w:val="006C0C9F"/>
    <w:rsid w:val="006C3587"/>
    <w:rsid w:val="006C3BDF"/>
    <w:rsid w:val="006C5FEB"/>
    <w:rsid w:val="006C6860"/>
    <w:rsid w:val="006C6C2E"/>
    <w:rsid w:val="006D02B7"/>
    <w:rsid w:val="006D0BEA"/>
    <w:rsid w:val="006D1984"/>
    <w:rsid w:val="006D1D71"/>
    <w:rsid w:val="006D3EBC"/>
    <w:rsid w:val="006E0AFA"/>
    <w:rsid w:val="006E0B5A"/>
    <w:rsid w:val="006E4819"/>
    <w:rsid w:val="006E5431"/>
    <w:rsid w:val="006F2871"/>
    <w:rsid w:val="006F6D23"/>
    <w:rsid w:val="0070070D"/>
    <w:rsid w:val="00704B6A"/>
    <w:rsid w:val="007117D3"/>
    <w:rsid w:val="007156BE"/>
    <w:rsid w:val="00715AF8"/>
    <w:rsid w:val="00716588"/>
    <w:rsid w:val="007207FE"/>
    <w:rsid w:val="007260D9"/>
    <w:rsid w:val="007268C7"/>
    <w:rsid w:val="007279C2"/>
    <w:rsid w:val="00727E9D"/>
    <w:rsid w:val="00730E6C"/>
    <w:rsid w:val="00732EA1"/>
    <w:rsid w:val="00733520"/>
    <w:rsid w:val="0073386A"/>
    <w:rsid w:val="0073411C"/>
    <w:rsid w:val="007349E2"/>
    <w:rsid w:val="007351C2"/>
    <w:rsid w:val="00736DC6"/>
    <w:rsid w:val="00740911"/>
    <w:rsid w:val="00740923"/>
    <w:rsid w:val="00744E9D"/>
    <w:rsid w:val="007506DE"/>
    <w:rsid w:val="00752D78"/>
    <w:rsid w:val="00756CA0"/>
    <w:rsid w:val="007613C2"/>
    <w:rsid w:val="0076417B"/>
    <w:rsid w:val="00764692"/>
    <w:rsid w:val="00766D3F"/>
    <w:rsid w:val="00771053"/>
    <w:rsid w:val="007717E6"/>
    <w:rsid w:val="00775C56"/>
    <w:rsid w:val="00784821"/>
    <w:rsid w:val="00784E86"/>
    <w:rsid w:val="00785F4A"/>
    <w:rsid w:val="00790857"/>
    <w:rsid w:val="00793638"/>
    <w:rsid w:val="00794416"/>
    <w:rsid w:val="007950C2"/>
    <w:rsid w:val="00796A82"/>
    <w:rsid w:val="00797D79"/>
    <w:rsid w:val="007A21A3"/>
    <w:rsid w:val="007A2C5F"/>
    <w:rsid w:val="007A354A"/>
    <w:rsid w:val="007A45F3"/>
    <w:rsid w:val="007A4AB3"/>
    <w:rsid w:val="007A6708"/>
    <w:rsid w:val="007A7815"/>
    <w:rsid w:val="007B1DF0"/>
    <w:rsid w:val="007B33C4"/>
    <w:rsid w:val="007B3AC5"/>
    <w:rsid w:val="007C09DF"/>
    <w:rsid w:val="007C30F0"/>
    <w:rsid w:val="007C323E"/>
    <w:rsid w:val="007D0F70"/>
    <w:rsid w:val="007D1161"/>
    <w:rsid w:val="007E164C"/>
    <w:rsid w:val="007E58F8"/>
    <w:rsid w:val="007F0B97"/>
    <w:rsid w:val="007F1930"/>
    <w:rsid w:val="007F3452"/>
    <w:rsid w:val="007F4542"/>
    <w:rsid w:val="007F488C"/>
    <w:rsid w:val="0080508B"/>
    <w:rsid w:val="008061AD"/>
    <w:rsid w:val="00806BCA"/>
    <w:rsid w:val="00807585"/>
    <w:rsid w:val="00810847"/>
    <w:rsid w:val="008129B6"/>
    <w:rsid w:val="008153A9"/>
    <w:rsid w:val="00821B49"/>
    <w:rsid w:val="00822F40"/>
    <w:rsid w:val="00823223"/>
    <w:rsid w:val="00824374"/>
    <w:rsid w:val="0082490C"/>
    <w:rsid w:val="0082756A"/>
    <w:rsid w:val="00831C12"/>
    <w:rsid w:val="00834350"/>
    <w:rsid w:val="00834A5B"/>
    <w:rsid w:val="00834B78"/>
    <w:rsid w:val="0083618B"/>
    <w:rsid w:val="00836FFF"/>
    <w:rsid w:val="0084598B"/>
    <w:rsid w:val="008508BA"/>
    <w:rsid w:val="0085107D"/>
    <w:rsid w:val="00853AA2"/>
    <w:rsid w:val="0086072E"/>
    <w:rsid w:val="00861723"/>
    <w:rsid w:val="00861983"/>
    <w:rsid w:val="00862D4B"/>
    <w:rsid w:val="0086367E"/>
    <w:rsid w:val="00866A0F"/>
    <w:rsid w:val="00872BD7"/>
    <w:rsid w:val="00875682"/>
    <w:rsid w:val="00877287"/>
    <w:rsid w:val="00877650"/>
    <w:rsid w:val="008807E3"/>
    <w:rsid w:val="00882415"/>
    <w:rsid w:val="00885168"/>
    <w:rsid w:val="00895132"/>
    <w:rsid w:val="00895F14"/>
    <w:rsid w:val="008977E8"/>
    <w:rsid w:val="008A1258"/>
    <w:rsid w:val="008A1D98"/>
    <w:rsid w:val="008A3B52"/>
    <w:rsid w:val="008A5B63"/>
    <w:rsid w:val="008A5C3C"/>
    <w:rsid w:val="008B23A0"/>
    <w:rsid w:val="008B38DF"/>
    <w:rsid w:val="008B3DF3"/>
    <w:rsid w:val="008C3385"/>
    <w:rsid w:val="008D0E94"/>
    <w:rsid w:val="008D2D51"/>
    <w:rsid w:val="008D7506"/>
    <w:rsid w:val="008E0D1D"/>
    <w:rsid w:val="008E25B1"/>
    <w:rsid w:val="008E5155"/>
    <w:rsid w:val="008F19FE"/>
    <w:rsid w:val="008F50F9"/>
    <w:rsid w:val="008F6707"/>
    <w:rsid w:val="008F74B1"/>
    <w:rsid w:val="008F7AB5"/>
    <w:rsid w:val="00902DEC"/>
    <w:rsid w:val="009031B6"/>
    <w:rsid w:val="00904779"/>
    <w:rsid w:val="009078D2"/>
    <w:rsid w:val="00912E03"/>
    <w:rsid w:val="00915461"/>
    <w:rsid w:val="00916511"/>
    <w:rsid w:val="009201F7"/>
    <w:rsid w:val="00921C80"/>
    <w:rsid w:val="009235DB"/>
    <w:rsid w:val="00924635"/>
    <w:rsid w:val="00924C4F"/>
    <w:rsid w:val="00925EE6"/>
    <w:rsid w:val="00930549"/>
    <w:rsid w:val="00930A6A"/>
    <w:rsid w:val="00942642"/>
    <w:rsid w:val="00944793"/>
    <w:rsid w:val="0094540C"/>
    <w:rsid w:val="00945D5E"/>
    <w:rsid w:val="00946E1C"/>
    <w:rsid w:val="00947392"/>
    <w:rsid w:val="00951681"/>
    <w:rsid w:val="009534FE"/>
    <w:rsid w:val="00953A9B"/>
    <w:rsid w:val="009567F1"/>
    <w:rsid w:val="009630CB"/>
    <w:rsid w:val="0096447C"/>
    <w:rsid w:val="00965AB9"/>
    <w:rsid w:val="00971FB7"/>
    <w:rsid w:val="009722CE"/>
    <w:rsid w:val="009734B5"/>
    <w:rsid w:val="00976AA5"/>
    <w:rsid w:val="00977994"/>
    <w:rsid w:val="00983759"/>
    <w:rsid w:val="00984C13"/>
    <w:rsid w:val="00986AE4"/>
    <w:rsid w:val="00986F71"/>
    <w:rsid w:val="0099074B"/>
    <w:rsid w:val="00996C2D"/>
    <w:rsid w:val="00997CAC"/>
    <w:rsid w:val="009A2406"/>
    <w:rsid w:val="009A4738"/>
    <w:rsid w:val="009A4916"/>
    <w:rsid w:val="009A5D4C"/>
    <w:rsid w:val="009B10BE"/>
    <w:rsid w:val="009B1138"/>
    <w:rsid w:val="009B4A68"/>
    <w:rsid w:val="009B4B23"/>
    <w:rsid w:val="009C354B"/>
    <w:rsid w:val="009D0821"/>
    <w:rsid w:val="009D141E"/>
    <w:rsid w:val="009D4A9F"/>
    <w:rsid w:val="009D5713"/>
    <w:rsid w:val="009D72FA"/>
    <w:rsid w:val="009E184E"/>
    <w:rsid w:val="009E209C"/>
    <w:rsid w:val="009E2BF5"/>
    <w:rsid w:val="009E4BB4"/>
    <w:rsid w:val="009E6395"/>
    <w:rsid w:val="009E64BE"/>
    <w:rsid w:val="009F0F9B"/>
    <w:rsid w:val="009F361A"/>
    <w:rsid w:val="009F3897"/>
    <w:rsid w:val="009F413E"/>
    <w:rsid w:val="009F4589"/>
    <w:rsid w:val="009F482C"/>
    <w:rsid w:val="009F5A35"/>
    <w:rsid w:val="00A025B1"/>
    <w:rsid w:val="00A03483"/>
    <w:rsid w:val="00A04369"/>
    <w:rsid w:val="00A0488D"/>
    <w:rsid w:val="00A05D54"/>
    <w:rsid w:val="00A05E1B"/>
    <w:rsid w:val="00A070FB"/>
    <w:rsid w:val="00A07119"/>
    <w:rsid w:val="00A07151"/>
    <w:rsid w:val="00A11BF6"/>
    <w:rsid w:val="00A12CEE"/>
    <w:rsid w:val="00A13971"/>
    <w:rsid w:val="00A13FCE"/>
    <w:rsid w:val="00A16184"/>
    <w:rsid w:val="00A20489"/>
    <w:rsid w:val="00A21194"/>
    <w:rsid w:val="00A25215"/>
    <w:rsid w:val="00A319FC"/>
    <w:rsid w:val="00A33B32"/>
    <w:rsid w:val="00A357BC"/>
    <w:rsid w:val="00A37330"/>
    <w:rsid w:val="00A43157"/>
    <w:rsid w:val="00A47D80"/>
    <w:rsid w:val="00A50209"/>
    <w:rsid w:val="00A5372A"/>
    <w:rsid w:val="00A6168D"/>
    <w:rsid w:val="00A62519"/>
    <w:rsid w:val="00A63E4B"/>
    <w:rsid w:val="00A6703A"/>
    <w:rsid w:val="00A67537"/>
    <w:rsid w:val="00A71316"/>
    <w:rsid w:val="00A71A3A"/>
    <w:rsid w:val="00A73AE9"/>
    <w:rsid w:val="00A752B0"/>
    <w:rsid w:val="00A75F69"/>
    <w:rsid w:val="00A805CE"/>
    <w:rsid w:val="00A8289E"/>
    <w:rsid w:val="00A8367C"/>
    <w:rsid w:val="00A94DA8"/>
    <w:rsid w:val="00A96603"/>
    <w:rsid w:val="00A96FCE"/>
    <w:rsid w:val="00AA0D05"/>
    <w:rsid w:val="00AA1C1A"/>
    <w:rsid w:val="00AA20B0"/>
    <w:rsid w:val="00AA2E30"/>
    <w:rsid w:val="00AA58E8"/>
    <w:rsid w:val="00AA7A58"/>
    <w:rsid w:val="00AB3AC9"/>
    <w:rsid w:val="00AB42F8"/>
    <w:rsid w:val="00AC0AC7"/>
    <w:rsid w:val="00AC3E7D"/>
    <w:rsid w:val="00AC4550"/>
    <w:rsid w:val="00AC5846"/>
    <w:rsid w:val="00AC59F1"/>
    <w:rsid w:val="00AC6CAC"/>
    <w:rsid w:val="00AC7906"/>
    <w:rsid w:val="00AD0FAB"/>
    <w:rsid w:val="00AD26AE"/>
    <w:rsid w:val="00AD30DC"/>
    <w:rsid w:val="00AD3CAE"/>
    <w:rsid w:val="00AD3F0F"/>
    <w:rsid w:val="00AD76DF"/>
    <w:rsid w:val="00AE0AC8"/>
    <w:rsid w:val="00AE3D27"/>
    <w:rsid w:val="00AE3E98"/>
    <w:rsid w:val="00AE564E"/>
    <w:rsid w:val="00AE74F5"/>
    <w:rsid w:val="00AE7FDA"/>
    <w:rsid w:val="00AF1245"/>
    <w:rsid w:val="00AF7DCC"/>
    <w:rsid w:val="00B001DD"/>
    <w:rsid w:val="00B00653"/>
    <w:rsid w:val="00B01D8C"/>
    <w:rsid w:val="00B020AD"/>
    <w:rsid w:val="00B031DD"/>
    <w:rsid w:val="00B03285"/>
    <w:rsid w:val="00B03755"/>
    <w:rsid w:val="00B05BB3"/>
    <w:rsid w:val="00B1054F"/>
    <w:rsid w:val="00B16D8C"/>
    <w:rsid w:val="00B20FFA"/>
    <w:rsid w:val="00B272FE"/>
    <w:rsid w:val="00B30414"/>
    <w:rsid w:val="00B30BDB"/>
    <w:rsid w:val="00B35910"/>
    <w:rsid w:val="00B36115"/>
    <w:rsid w:val="00B42B82"/>
    <w:rsid w:val="00B43A27"/>
    <w:rsid w:val="00B4669B"/>
    <w:rsid w:val="00B549D1"/>
    <w:rsid w:val="00B5507D"/>
    <w:rsid w:val="00B60A70"/>
    <w:rsid w:val="00B63C9F"/>
    <w:rsid w:val="00B64FFB"/>
    <w:rsid w:val="00B65733"/>
    <w:rsid w:val="00B65D27"/>
    <w:rsid w:val="00B70F4C"/>
    <w:rsid w:val="00B740DF"/>
    <w:rsid w:val="00B80209"/>
    <w:rsid w:val="00B8032A"/>
    <w:rsid w:val="00B807D6"/>
    <w:rsid w:val="00B8101C"/>
    <w:rsid w:val="00B84698"/>
    <w:rsid w:val="00B86E0C"/>
    <w:rsid w:val="00B870C6"/>
    <w:rsid w:val="00B92C8D"/>
    <w:rsid w:val="00B96E69"/>
    <w:rsid w:val="00BA5B55"/>
    <w:rsid w:val="00BA61B1"/>
    <w:rsid w:val="00BA7407"/>
    <w:rsid w:val="00BB06A9"/>
    <w:rsid w:val="00BB1AFF"/>
    <w:rsid w:val="00BB4CFE"/>
    <w:rsid w:val="00BB5BCD"/>
    <w:rsid w:val="00BB618B"/>
    <w:rsid w:val="00BB6B0A"/>
    <w:rsid w:val="00BC1AAE"/>
    <w:rsid w:val="00BC3CAF"/>
    <w:rsid w:val="00BD3036"/>
    <w:rsid w:val="00BD5F47"/>
    <w:rsid w:val="00BD78B5"/>
    <w:rsid w:val="00BD7F3B"/>
    <w:rsid w:val="00BE0563"/>
    <w:rsid w:val="00BE2297"/>
    <w:rsid w:val="00BE2A31"/>
    <w:rsid w:val="00BE2B96"/>
    <w:rsid w:val="00BF0520"/>
    <w:rsid w:val="00BF09A5"/>
    <w:rsid w:val="00C00131"/>
    <w:rsid w:val="00C0335E"/>
    <w:rsid w:val="00C0581B"/>
    <w:rsid w:val="00C148CB"/>
    <w:rsid w:val="00C17F00"/>
    <w:rsid w:val="00C23B26"/>
    <w:rsid w:val="00C26BD5"/>
    <w:rsid w:val="00C27A37"/>
    <w:rsid w:val="00C27C13"/>
    <w:rsid w:val="00C3021B"/>
    <w:rsid w:val="00C310B5"/>
    <w:rsid w:val="00C31262"/>
    <w:rsid w:val="00C335C5"/>
    <w:rsid w:val="00C40193"/>
    <w:rsid w:val="00C41009"/>
    <w:rsid w:val="00C425B5"/>
    <w:rsid w:val="00C44014"/>
    <w:rsid w:val="00C47036"/>
    <w:rsid w:val="00C5711F"/>
    <w:rsid w:val="00C574DB"/>
    <w:rsid w:val="00C57526"/>
    <w:rsid w:val="00C6057F"/>
    <w:rsid w:val="00C63A52"/>
    <w:rsid w:val="00C67846"/>
    <w:rsid w:val="00C718FA"/>
    <w:rsid w:val="00C71D21"/>
    <w:rsid w:val="00C753CE"/>
    <w:rsid w:val="00C76A2F"/>
    <w:rsid w:val="00C7717C"/>
    <w:rsid w:val="00C77E11"/>
    <w:rsid w:val="00C801A2"/>
    <w:rsid w:val="00C8316B"/>
    <w:rsid w:val="00C8791A"/>
    <w:rsid w:val="00C91534"/>
    <w:rsid w:val="00C92E53"/>
    <w:rsid w:val="00C952D0"/>
    <w:rsid w:val="00CA0A50"/>
    <w:rsid w:val="00CA0D76"/>
    <w:rsid w:val="00CA30DF"/>
    <w:rsid w:val="00CA61AA"/>
    <w:rsid w:val="00CB2C4C"/>
    <w:rsid w:val="00CB6DFF"/>
    <w:rsid w:val="00CC1BC9"/>
    <w:rsid w:val="00CC3469"/>
    <w:rsid w:val="00CC50A7"/>
    <w:rsid w:val="00CC61E6"/>
    <w:rsid w:val="00CD050A"/>
    <w:rsid w:val="00CD52E3"/>
    <w:rsid w:val="00CD56BE"/>
    <w:rsid w:val="00CD61F9"/>
    <w:rsid w:val="00CE01B5"/>
    <w:rsid w:val="00CE08C1"/>
    <w:rsid w:val="00CE0B28"/>
    <w:rsid w:val="00CE1C87"/>
    <w:rsid w:val="00CE2509"/>
    <w:rsid w:val="00CE3502"/>
    <w:rsid w:val="00CE441F"/>
    <w:rsid w:val="00CE4FA2"/>
    <w:rsid w:val="00CE5480"/>
    <w:rsid w:val="00CE62E0"/>
    <w:rsid w:val="00CF2B94"/>
    <w:rsid w:val="00CF4FDC"/>
    <w:rsid w:val="00D02E63"/>
    <w:rsid w:val="00D036A6"/>
    <w:rsid w:val="00D12BB3"/>
    <w:rsid w:val="00D14BDC"/>
    <w:rsid w:val="00D14F0C"/>
    <w:rsid w:val="00D26C0C"/>
    <w:rsid w:val="00D26F43"/>
    <w:rsid w:val="00D323E4"/>
    <w:rsid w:val="00D36181"/>
    <w:rsid w:val="00D36A35"/>
    <w:rsid w:val="00D46071"/>
    <w:rsid w:val="00D464DB"/>
    <w:rsid w:val="00D46E18"/>
    <w:rsid w:val="00D50C01"/>
    <w:rsid w:val="00D511C3"/>
    <w:rsid w:val="00D54A20"/>
    <w:rsid w:val="00D5741B"/>
    <w:rsid w:val="00D774DE"/>
    <w:rsid w:val="00D80666"/>
    <w:rsid w:val="00D80E6C"/>
    <w:rsid w:val="00D81DAC"/>
    <w:rsid w:val="00D82257"/>
    <w:rsid w:val="00D851C9"/>
    <w:rsid w:val="00D85849"/>
    <w:rsid w:val="00D92D8E"/>
    <w:rsid w:val="00D97C83"/>
    <w:rsid w:val="00DA3139"/>
    <w:rsid w:val="00DA745C"/>
    <w:rsid w:val="00DB100B"/>
    <w:rsid w:val="00DB35CB"/>
    <w:rsid w:val="00DB42CF"/>
    <w:rsid w:val="00DB60DB"/>
    <w:rsid w:val="00DB6432"/>
    <w:rsid w:val="00DB6629"/>
    <w:rsid w:val="00DB691D"/>
    <w:rsid w:val="00DC340C"/>
    <w:rsid w:val="00DC3A1F"/>
    <w:rsid w:val="00DC6144"/>
    <w:rsid w:val="00DD1ABE"/>
    <w:rsid w:val="00DD1F4C"/>
    <w:rsid w:val="00DD2E31"/>
    <w:rsid w:val="00DD48F3"/>
    <w:rsid w:val="00DE381E"/>
    <w:rsid w:val="00DF19F1"/>
    <w:rsid w:val="00DF5215"/>
    <w:rsid w:val="00E033F9"/>
    <w:rsid w:val="00E03640"/>
    <w:rsid w:val="00E0390E"/>
    <w:rsid w:val="00E0706E"/>
    <w:rsid w:val="00E07E57"/>
    <w:rsid w:val="00E102D2"/>
    <w:rsid w:val="00E1193C"/>
    <w:rsid w:val="00E14FC6"/>
    <w:rsid w:val="00E157A4"/>
    <w:rsid w:val="00E21628"/>
    <w:rsid w:val="00E24E09"/>
    <w:rsid w:val="00E26041"/>
    <w:rsid w:val="00E26EB3"/>
    <w:rsid w:val="00E27F91"/>
    <w:rsid w:val="00E31008"/>
    <w:rsid w:val="00E32742"/>
    <w:rsid w:val="00E4402D"/>
    <w:rsid w:val="00E5155F"/>
    <w:rsid w:val="00E536EA"/>
    <w:rsid w:val="00E54A81"/>
    <w:rsid w:val="00E54ACA"/>
    <w:rsid w:val="00E56960"/>
    <w:rsid w:val="00E56BDA"/>
    <w:rsid w:val="00E60128"/>
    <w:rsid w:val="00E60621"/>
    <w:rsid w:val="00E7237D"/>
    <w:rsid w:val="00E7371C"/>
    <w:rsid w:val="00E73919"/>
    <w:rsid w:val="00E73B88"/>
    <w:rsid w:val="00E74E17"/>
    <w:rsid w:val="00E75321"/>
    <w:rsid w:val="00E75A2D"/>
    <w:rsid w:val="00E816E4"/>
    <w:rsid w:val="00E81848"/>
    <w:rsid w:val="00E837AF"/>
    <w:rsid w:val="00E8509C"/>
    <w:rsid w:val="00E9111D"/>
    <w:rsid w:val="00E91C47"/>
    <w:rsid w:val="00E92474"/>
    <w:rsid w:val="00E946E5"/>
    <w:rsid w:val="00E950CC"/>
    <w:rsid w:val="00E95316"/>
    <w:rsid w:val="00E955A4"/>
    <w:rsid w:val="00E95E84"/>
    <w:rsid w:val="00EA20AB"/>
    <w:rsid w:val="00EA3514"/>
    <w:rsid w:val="00EA388A"/>
    <w:rsid w:val="00EA6F96"/>
    <w:rsid w:val="00EA78C5"/>
    <w:rsid w:val="00EB19A0"/>
    <w:rsid w:val="00EB64B8"/>
    <w:rsid w:val="00EB757E"/>
    <w:rsid w:val="00EC368D"/>
    <w:rsid w:val="00EC47F6"/>
    <w:rsid w:val="00EC4955"/>
    <w:rsid w:val="00EC67CF"/>
    <w:rsid w:val="00EC7BA8"/>
    <w:rsid w:val="00ED0155"/>
    <w:rsid w:val="00ED0C3A"/>
    <w:rsid w:val="00EE1898"/>
    <w:rsid w:val="00EE4CF8"/>
    <w:rsid w:val="00EF18F2"/>
    <w:rsid w:val="00EF1956"/>
    <w:rsid w:val="00EF3214"/>
    <w:rsid w:val="00EF4588"/>
    <w:rsid w:val="00EF6F8A"/>
    <w:rsid w:val="00EF70C7"/>
    <w:rsid w:val="00F02368"/>
    <w:rsid w:val="00F0299B"/>
    <w:rsid w:val="00F11EB1"/>
    <w:rsid w:val="00F15B4F"/>
    <w:rsid w:val="00F202DF"/>
    <w:rsid w:val="00F21DE4"/>
    <w:rsid w:val="00F22567"/>
    <w:rsid w:val="00F275AE"/>
    <w:rsid w:val="00F2768F"/>
    <w:rsid w:val="00F3152A"/>
    <w:rsid w:val="00F31644"/>
    <w:rsid w:val="00F4291D"/>
    <w:rsid w:val="00F43569"/>
    <w:rsid w:val="00F44663"/>
    <w:rsid w:val="00F5057B"/>
    <w:rsid w:val="00F52153"/>
    <w:rsid w:val="00F5314B"/>
    <w:rsid w:val="00F53E56"/>
    <w:rsid w:val="00F56AAF"/>
    <w:rsid w:val="00F74C28"/>
    <w:rsid w:val="00F75382"/>
    <w:rsid w:val="00F75CF5"/>
    <w:rsid w:val="00F76184"/>
    <w:rsid w:val="00F76989"/>
    <w:rsid w:val="00F81ECF"/>
    <w:rsid w:val="00F90786"/>
    <w:rsid w:val="00F91902"/>
    <w:rsid w:val="00F94345"/>
    <w:rsid w:val="00F94B6F"/>
    <w:rsid w:val="00F95792"/>
    <w:rsid w:val="00F96569"/>
    <w:rsid w:val="00FA0FFC"/>
    <w:rsid w:val="00FB0AEF"/>
    <w:rsid w:val="00FB1346"/>
    <w:rsid w:val="00FB2C52"/>
    <w:rsid w:val="00FB4ECC"/>
    <w:rsid w:val="00FC0D89"/>
    <w:rsid w:val="00FC2664"/>
    <w:rsid w:val="00FC71F6"/>
    <w:rsid w:val="00FD368A"/>
    <w:rsid w:val="00FE217B"/>
    <w:rsid w:val="00FE2FA6"/>
    <w:rsid w:val="00FE3CB3"/>
    <w:rsid w:val="00FE4D57"/>
    <w:rsid w:val="00FE6756"/>
    <w:rsid w:val="00FE7B59"/>
    <w:rsid w:val="00FE7BF6"/>
    <w:rsid w:val="00FF23A5"/>
    <w:rsid w:val="00FF4856"/>
    <w:rsid w:val="00FF77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BA619"/>
  <w15:docId w15:val="{0DB45B32-6620-45C1-8B51-B7E5585E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2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77052"/>
    <w:pPr>
      <w:keepNext/>
      <w:keepLines/>
      <w:spacing w:before="240" w:line="228" w:lineRule="auto"/>
      <w:ind w:left="720" w:right="475" w:firstLine="432"/>
      <w:jc w:val="both"/>
      <w:outlineLvl w:val="0"/>
    </w:pPr>
    <w:rPr>
      <w:rFonts w:asciiTheme="majorHAnsi" w:eastAsiaTheme="majorEastAsia" w:hAnsiTheme="majorHAnsi" w:cstheme="majorBidi"/>
      <w:noProof/>
      <w:color w:val="2E74B5" w:themeColor="accent1" w:themeShade="BF"/>
      <w:sz w:val="32"/>
      <w:szCs w:val="32"/>
      <w:lang w:eastAsia="zh-CN"/>
    </w:rPr>
  </w:style>
  <w:style w:type="paragraph" w:styleId="Heading3">
    <w:name w:val="heading 3"/>
    <w:basedOn w:val="Normal"/>
    <w:next w:val="Normal"/>
    <w:link w:val="Heading3Char"/>
    <w:uiPriority w:val="9"/>
    <w:semiHidden/>
    <w:unhideWhenUsed/>
    <w:qFormat/>
    <w:rsid w:val="00EB757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AD30DC"/>
    <w:pPr>
      <w:adjustRightInd w:val="0"/>
      <w:snapToGrid w:val="0"/>
      <w:spacing w:before="240" w:after="0" w:line="228" w:lineRule="auto"/>
      <w:ind w:left="720" w:right="475" w:firstLine="432"/>
      <w:jc w:val="both"/>
    </w:pPr>
    <w:rPr>
      <w:rFonts w:ascii="Palatino Linotype" w:eastAsia="Times New Roman" w:hAnsi="Palatino Linotype" w:cs="Times New Roman"/>
      <w:i/>
      <w:snapToGrid w:val="0"/>
      <w:color w:val="000000"/>
      <w:sz w:val="20"/>
      <w:lang w:eastAsia="de-DE" w:bidi="en-US"/>
    </w:rPr>
  </w:style>
  <w:style w:type="paragraph" w:customStyle="1" w:styleId="MDPI12title">
    <w:name w:val="MDPI_1.2_title"/>
    <w:next w:val="Normal"/>
    <w:qFormat/>
    <w:rsid w:val="00AD30DC"/>
    <w:pPr>
      <w:adjustRightInd w:val="0"/>
      <w:snapToGrid w:val="0"/>
      <w:spacing w:after="240" w:line="240" w:lineRule="atLeast"/>
      <w:ind w:left="720" w:right="475" w:firstLine="432"/>
      <w:jc w:val="both"/>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AD30DC"/>
    <w:pPr>
      <w:adjustRightInd w:val="0"/>
      <w:snapToGrid w:val="0"/>
      <w:spacing w:after="360" w:line="260" w:lineRule="atLeast"/>
      <w:ind w:left="720" w:right="475" w:firstLine="432"/>
      <w:jc w:val="both"/>
    </w:pPr>
    <w:rPr>
      <w:rFonts w:ascii="Palatino Linotype" w:eastAsia="Times New Roman" w:hAnsi="Palatino Linotype" w:cs="Times New Roman"/>
      <w:b/>
      <w:color w:val="000000"/>
      <w:sz w:val="20"/>
      <w:lang w:eastAsia="de-DE" w:bidi="en-US"/>
    </w:rPr>
  </w:style>
  <w:style w:type="paragraph" w:customStyle="1" w:styleId="MDPI14history">
    <w:name w:val="MDPI_1.4_history"/>
    <w:basedOn w:val="Normal"/>
    <w:next w:val="Normal"/>
    <w:qFormat/>
    <w:rsid w:val="00AD30DC"/>
    <w:pPr>
      <w:adjustRightInd w:val="0"/>
      <w:snapToGrid w:val="0"/>
      <w:spacing w:line="240" w:lineRule="atLeast"/>
      <w:ind w:left="720" w:right="113" w:firstLine="432"/>
    </w:pPr>
    <w:rPr>
      <w:rFonts w:ascii="Palatino Linotype" w:hAnsi="Palatino Linotype"/>
      <w:color w:val="000000"/>
      <w:sz w:val="14"/>
      <w:szCs w:val="20"/>
      <w:lang w:eastAsia="de-DE" w:bidi="en-US"/>
    </w:rPr>
  </w:style>
  <w:style w:type="paragraph" w:customStyle="1" w:styleId="MDPI16affiliation">
    <w:name w:val="MDPI_1.6_affiliation"/>
    <w:qFormat/>
    <w:rsid w:val="00AD30DC"/>
    <w:pPr>
      <w:adjustRightInd w:val="0"/>
      <w:snapToGrid w:val="0"/>
      <w:spacing w:after="0" w:line="200" w:lineRule="atLeast"/>
      <w:ind w:left="2806" w:right="475" w:hanging="198"/>
      <w:jc w:val="both"/>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AD30DC"/>
    <w:pPr>
      <w:adjustRightInd w:val="0"/>
      <w:snapToGrid w:val="0"/>
      <w:spacing w:before="240" w:after="0" w:line="260" w:lineRule="atLeast"/>
      <w:ind w:left="2608" w:right="475" w:firstLine="432"/>
      <w:jc w:val="both"/>
    </w:pPr>
    <w:rPr>
      <w:rFonts w:ascii="Palatino Linotype" w:eastAsia="Times New Roman" w:hAnsi="Palatino Linotype" w:cs="Times New Roman"/>
      <w:color w:val="000000"/>
      <w:sz w:val="18"/>
      <w:lang w:eastAsia="de-DE" w:bidi="en-US"/>
    </w:rPr>
  </w:style>
  <w:style w:type="paragraph" w:customStyle="1" w:styleId="MDPI18keywords">
    <w:name w:val="MDPI_1.8_keywords"/>
    <w:next w:val="Normal"/>
    <w:qFormat/>
    <w:rsid w:val="00AD30DC"/>
    <w:pPr>
      <w:adjustRightInd w:val="0"/>
      <w:snapToGrid w:val="0"/>
      <w:spacing w:before="240" w:after="0" w:line="260" w:lineRule="atLeast"/>
      <w:ind w:left="2608" w:right="475" w:firstLine="432"/>
      <w:jc w:val="both"/>
    </w:pPr>
    <w:rPr>
      <w:rFonts w:ascii="Palatino Linotype" w:eastAsia="Times New Roman" w:hAnsi="Palatino Linotype" w:cs="Times New Roman"/>
      <w:snapToGrid w:val="0"/>
      <w:color w:val="000000"/>
      <w:sz w:val="18"/>
      <w:lang w:eastAsia="de-DE" w:bidi="en-US"/>
    </w:rPr>
  </w:style>
  <w:style w:type="paragraph" w:customStyle="1" w:styleId="MDPI19line">
    <w:name w:val="MDPI_1.9_line"/>
    <w:qFormat/>
    <w:rsid w:val="00AD30DC"/>
    <w:pPr>
      <w:pBdr>
        <w:bottom w:val="single" w:sz="6" w:space="1" w:color="auto"/>
      </w:pBdr>
      <w:adjustRightInd w:val="0"/>
      <w:snapToGrid w:val="0"/>
      <w:spacing w:after="480" w:line="260" w:lineRule="atLeast"/>
      <w:ind w:left="2608" w:right="475" w:firstLine="432"/>
      <w:jc w:val="both"/>
    </w:pPr>
    <w:rPr>
      <w:rFonts w:ascii="Palatino Linotype" w:eastAsia="Times New Roman" w:hAnsi="Palatino Linotype" w:cs="Cordia New"/>
      <w:color w:val="000000"/>
      <w:sz w:val="20"/>
      <w:szCs w:val="24"/>
      <w:lang w:eastAsia="de-DE" w:bidi="en-US"/>
    </w:rPr>
  </w:style>
  <w:style w:type="paragraph" w:styleId="Footer">
    <w:name w:val="footer"/>
    <w:basedOn w:val="Normal"/>
    <w:link w:val="FooterChar"/>
    <w:uiPriority w:val="99"/>
    <w:rsid w:val="00AD30DC"/>
    <w:pPr>
      <w:tabs>
        <w:tab w:val="center" w:pos="4153"/>
        <w:tab w:val="right" w:pos="8306"/>
      </w:tabs>
      <w:snapToGrid w:val="0"/>
      <w:spacing w:line="240" w:lineRule="atLeast"/>
      <w:ind w:left="720" w:right="475" w:firstLine="432"/>
      <w:jc w:val="both"/>
    </w:pPr>
    <w:rPr>
      <w:rFonts w:ascii="Palatino Linotype" w:eastAsia="SimSun" w:hAnsi="Palatino Linotype"/>
      <w:noProof/>
      <w:color w:val="000000"/>
      <w:sz w:val="20"/>
      <w:szCs w:val="18"/>
      <w:lang w:eastAsia="zh-CN"/>
    </w:rPr>
  </w:style>
  <w:style w:type="character" w:customStyle="1" w:styleId="FooterChar">
    <w:name w:val="Footer Char"/>
    <w:link w:val="Footer"/>
    <w:uiPriority w:val="99"/>
    <w:rsid w:val="00AD30DC"/>
    <w:rPr>
      <w:rFonts w:ascii="Palatino Linotype" w:eastAsia="SimSun" w:hAnsi="Palatino Linotype" w:cs="Times New Roman"/>
      <w:noProof/>
      <w:color w:val="000000"/>
      <w:sz w:val="20"/>
      <w:szCs w:val="18"/>
      <w:lang w:eastAsia="zh-CN"/>
    </w:rPr>
  </w:style>
  <w:style w:type="paragraph" w:styleId="Header">
    <w:name w:val="header"/>
    <w:basedOn w:val="Normal"/>
    <w:link w:val="HeaderChar"/>
    <w:uiPriority w:val="99"/>
    <w:rsid w:val="00AD30DC"/>
    <w:pPr>
      <w:pBdr>
        <w:bottom w:val="single" w:sz="6" w:space="1" w:color="auto"/>
      </w:pBdr>
      <w:tabs>
        <w:tab w:val="center" w:pos="4153"/>
        <w:tab w:val="right" w:pos="8306"/>
      </w:tabs>
      <w:snapToGrid w:val="0"/>
      <w:spacing w:line="240" w:lineRule="atLeast"/>
      <w:ind w:left="720" w:right="475" w:firstLine="432"/>
      <w:jc w:val="center"/>
    </w:pPr>
    <w:rPr>
      <w:rFonts w:ascii="Palatino Linotype" w:eastAsia="SimSun" w:hAnsi="Palatino Linotype"/>
      <w:noProof/>
      <w:color w:val="000000"/>
      <w:sz w:val="20"/>
      <w:szCs w:val="18"/>
      <w:lang w:eastAsia="zh-CN"/>
    </w:rPr>
  </w:style>
  <w:style w:type="character" w:customStyle="1" w:styleId="HeaderChar">
    <w:name w:val="Header Char"/>
    <w:link w:val="Header"/>
    <w:uiPriority w:val="99"/>
    <w:rsid w:val="00AD30DC"/>
    <w:rPr>
      <w:rFonts w:ascii="Palatino Linotype" w:eastAsia="SimSun" w:hAnsi="Palatino Linotype" w:cs="Times New Roman"/>
      <w:noProof/>
      <w:color w:val="000000"/>
      <w:sz w:val="20"/>
      <w:szCs w:val="18"/>
      <w:lang w:eastAsia="zh-CN"/>
    </w:rPr>
  </w:style>
  <w:style w:type="paragraph" w:customStyle="1" w:styleId="MDPIheaderjournallogo">
    <w:name w:val="MDPI_header_journal_logo"/>
    <w:qFormat/>
    <w:rsid w:val="00AD30DC"/>
    <w:pPr>
      <w:adjustRightInd w:val="0"/>
      <w:snapToGrid w:val="0"/>
      <w:spacing w:after="0" w:line="260" w:lineRule="atLeast"/>
      <w:ind w:left="720" w:right="475" w:firstLine="432"/>
      <w:jc w:val="both"/>
    </w:pPr>
    <w:rPr>
      <w:rFonts w:ascii="Palatino Linotype" w:eastAsia="Times New Roman" w:hAnsi="Palatino Linotype" w:cs="Times New Roman"/>
      <w:i/>
      <w:color w:val="000000"/>
      <w:sz w:val="24"/>
      <w:lang w:eastAsia="de-CH"/>
    </w:rPr>
  </w:style>
  <w:style w:type="paragraph" w:customStyle="1" w:styleId="MDPI32textnoindent">
    <w:name w:val="MDPI_3.2_text_no_indent"/>
    <w:basedOn w:val="MDPI31text"/>
    <w:qFormat/>
    <w:rsid w:val="00AD30DC"/>
    <w:pPr>
      <w:ind w:firstLine="0"/>
    </w:pPr>
  </w:style>
  <w:style w:type="paragraph" w:customStyle="1" w:styleId="MDPI31text">
    <w:name w:val="MDPI_3.1_text"/>
    <w:qFormat/>
    <w:rsid w:val="00AD30DC"/>
    <w:pPr>
      <w:adjustRightInd w:val="0"/>
      <w:snapToGrid w:val="0"/>
      <w:spacing w:after="0" w:line="228" w:lineRule="auto"/>
      <w:ind w:left="2608" w:right="475" w:firstLine="425"/>
      <w:jc w:val="both"/>
    </w:pPr>
    <w:rPr>
      <w:rFonts w:ascii="Palatino Linotype" w:eastAsia="Times New Roman" w:hAnsi="Palatino Linotype" w:cs="Times New Roman"/>
      <w:snapToGrid w:val="0"/>
      <w:color w:val="000000"/>
      <w:sz w:val="20"/>
      <w:lang w:eastAsia="de-DE" w:bidi="en-US"/>
    </w:rPr>
  </w:style>
  <w:style w:type="paragraph" w:customStyle="1" w:styleId="MDPI33textspaceafter">
    <w:name w:val="MDPI_3.3_text_space_after"/>
    <w:qFormat/>
    <w:rsid w:val="00AD30DC"/>
    <w:pPr>
      <w:adjustRightInd w:val="0"/>
      <w:snapToGrid w:val="0"/>
      <w:spacing w:after="240" w:line="228" w:lineRule="auto"/>
      <w:ind w:left="2608" w:right="475" w:firstLine="432"/>
      <w:jc w:val="both"/>
    </w:pPr>
    <w:rPr>
      <w:rFonts w:ascii="Palatino Linotype" w:eastAsia="Times New Roman" w:hAnsi="Palatino Linotype" w:cs="Times New Roman"/>
      <w:snapToGrid w:val="0"/>
      <w:color w:val="000000"/>
      <w:sz w:val="20"/>
      <w:lang w:eastAsia="de-DE" w:bidi="en-US"/>
    </w:rPr>
  </w:style>
  <w:style w:type="paragraph" w:customStyle="1" w:styleId="MDPI34textspacebefore">
    <w:name w:val="MDPI_3.4_text_space_before"/>
    <w:qFormat/>
    <w:rsid w:val="00AD30DC"/>
    <w:pPr>
      <w:adjustRightInd w:val="0"/>
      <w:snapToGrid w:val="0"/>
      <w:spacing w:before="240" w:after="0" w:line="228" w:lineRule="auto"/>
      <w:ind w:left="2608" w:right="475" w:firstLine="432"/>
      <w:jc w:val="both"/>
    </w:pPr>
    <w:rPr>
      <w:rFonts w:ascii="Palatino Linotype" w:eastAsia="Times New Roman" w:hAnsi="Palatino Linotype" w:cs="Times New Roman"/>
      <w:snapToGrid w:val="0"/>
      <w:color w:val="000000"/>
      <w:sz w:val="20"/>
      <w:lang w:eastAsia="de-DE" w:bidi="en-US"/>
    </w:rPr>
  </w:style>
  <w:style w:type="paragraph" w:customStyle="1" w:styleId="MDPI35textbeforelist">
    <w:name w:val="MDPI_3.5_text_before_list"/>
    <w:qFormat/>
    <w:rsid w:val="00AD30DC"/>
    <w:pPr>
      <w:adjustRightInd w:val="0"/>
      <w:snapToGrid w:val="0"/>
      <w:spacing w:after="0" w:line="228" w:lineRule="auto"/>
      <w:ind w:left="2608" w:right="475" w:firstLine="425"/>
      <w:jc w:val="both"/>
    </w:pPr>
    <w:rPr>
      <w:rFonts w:ascii="Palatino Linotype" w:eastAsia="Times New Roman" w:hAnsi="Palatino Linotype" w:cs="Times New Roman"/>
      <w:snapToGrid w:val="0"/>
      <w:color w:val="000000"/>
      <w:sz w:val="20"/>
      <w:lang w:eastAsia="de-DE" w:bidi="en-US"/>
    </w:rPr>
  </w:style>
  <w:style w:type="paragraph" w:customStyle="1" w:styleId="MDPI36textafterlist">
    <w:name w:val="MDPI_3.6_text_after_list"/>
    <w:qFormat/>
    <w:rsid w:val="00AD30DC"/>
    <w:pPr>
      <w:adjustRightInd w:val="0"/>
      <w:snapToGrid w:val="0"/>
      <w:spacing w:before="120" w:after="0" w:line="228" w:lineRule="auto"/>
      <w:ind w:left="2608" w:right="475" w:firstLine="432"/>
      <w:jc w:val="both"/>
    </w:pPr>
    <w:rPr>
      <w:rFonts w:ascii="Palatino Linotype" w:eastAsia="Times New Roman" w:hAnsi="Palatino Linotype" w:cs="Times New Roman"/>
      <w:snapToGrid w:val="0"/>
      <w:color w:val="000000"/>
      <w:sz w:val="20"/>
      <w:lang w:eastAsia="de-DE" w:bidi="en-US"/>
    </w:rPr>
  </w:style>
  <w:style w:type="paragraph" w:customStyle="1" w:styleId="MDPI37itemize">
    <w:name w:val="MDPI_3.7_itemize"/>
    <w:qFormat/>
    <w:rsid w:val="00AD30DC"/>
    <w:pPr>
      <w:numPr>
        <w:numId w:val="14"/>
      </w:numPr>
      <w:adjustRightInd w:val="0"/>
      <w:snapToGrid w:val="0"/>
      <w:spacing w:after="0" w:line="228" w:lineRule="auto"/>
      <w:ind w:right="475"/>
      <w:jc w:val="both"/>
    </w:pPr>
    <w:rPr>
      <w:rFonts w:ascii="Palatino Linotype" w:eastAsia="Times New Roman" w:hAnsi="Palatino Linotype" w:cs="Times New Roman"/>
      <w:color w:val="000000"/>
      <w:sz w:val="20"/>
      <w:lang w:eastAsia="de-DE" w:bidi="en-US"/>
    </w:rPr>
  </w:style>
  <w:style w:type="paragraph" w:customStyle="1" w:styleId="MDPI38bullet">
    <w:name w:val="MDPI_3.8_bullet"/>
    <w:qFormat/>
    <w:rsid w:val="00AD30DC"/>
    <w:pPr>
      <w:adjustRightInd w:val="0"/>
      <w:snapToGrid w:val="0"/>
      <w:spacing w:after="0" w:line="228" w:lineRule="auto"/>
      <w:ind w:left="3033" w:right="475" w:hanging="425"/>
      <w:jc w:val="both"/>
    </w:pPr>
    <w:rPr>
      <w:rFonts w:ascii="Palatino Linotype" w:eastAsia="Times New Roman" w:hAnsi="Palatino Linotype" w:cs="Times New Roman"/>
      <w:color w:val="000000"/>
      <w:sz w:val="20"/>
      <w:lang w:eastAsia="de-DE" w:bidi="en-US"/>
    </w:rPr>
  </w:style>
  <w:style w:type="paragraph" w:customStyle="1" w:styleId="MDPI39equation">
    <w:name w:val="MDPI_3.9_equation"/>
    <w:qFormat/>
    <w:rsid w:val="00AD30DC"/>
    <w:pPr>
      <w:adjustRightInd w:val="0"/>
      <w:snapToGrid w:val="0"/>
      <w:spacing w:before="120" w:after="120" w:line="260" w:lineRule="atLeast"/>
      <w:ind w:left="709" w:right="475" w:firstLine="432"/>
      <w:jc w:val="center"/>
    </w:pPr>
    <w:rPr>
      <w:rFonts w:ascii="Palatino Linotype" w:eastAsia="Times New Roman" w:hAnsi="Palatino Linotype" w:cs="Times New Roman"/>
      <w:snapToGrid w:val="0"/>
      <w:color w:val="000000"/>
      <w:sz w:val="20"/>
      <w:lang w:eastAsia="de-DE" w:bidi="en-US"/>
    </w:rPr>
  </w:style>
  <w:style w:type="paragraph" w:customStyle="1" w:styleId="MDPI3aequationnumber">
    <w:name w:val="MDPI_3.a_equation_number"/>
    <w:qFormat/>
    <w:rsid w:val="00AD30DC"/>
    <w:pPr>
      <w:spacing w:before="120" w:after="120" w:line="228" w:lineRule="auto"/>
      <w:ind w:left="720" w:right="475" w:firstLine="432"/>
      <w:jc w:val="right"/>
    </w:pPr>
    <w:rPr>
      <w:rFonts w:ascii="Palatino Linotype" w:eastAsia="Times New Roman" w:hAnsi="Palatino Linotype" w:cs="Times New Roman"/>
      <w:snapToGrid w:val="0"/>
      <w:color w:val="000000"/>
      <w:sz w:val="20"/>
      <w:lang w:eastAsia="de-DE" w:bidi="en-US"/>
    </w:rPr>
  </w:style>
  <w:style w:type="paragraph" w:customStyle="1" w:styleId="MDPI41tablecaption">
    <w:name w:val="MDPI_4.1_table_caption"/>
    <w:qFormat/>
    <w:rsid w:val="00AD30DC"/>
    <w:pPr>
      <w:adjustRightInd w:val="0"/>
      <w:snapToGrid w:val="0"/>
      <w:spacing w:before="240" w:after="120" w:line="228" w:lineRule="auto"/>
      <w:ind w:left="2608" w:right="475" w:firstLine="432"/>
      <w:jc w:val="both"/>
    </w:pPr>
    <w:rPr>
      <w:rFonts w:ascii="Palatino Linotype" w:eastAsia="Times New Roman" w:hAnsi="Palatino Linotype" w:cs="Cordia New"/>
      <w:color w:val="000000"/>
      <w:sz w:val="18"/>
      <w:lang w:eastAsia="de-DE" w:bidi="en-US"/>
    </w:rPr>
  </w:style>
  <w:style w:type="paragraph" w:customStyle="1" w:styleId="MDPI42tablebody">
    <w:name w:val="MDPI_4.2_table_body"/>
    <w:qFormat/>
    <w:rsid w:val="00AD30DC"/>
    <w:pPr>
      <w:adjustRightInd w:val="0"/>
      <w:snapToGrid w:val="0"/>
      <w:spacing w:after="0" w:line="260" w:lineRule="atLeast"/>
      <w:ind w:left="720" w:right="475" w:firstLine="432"/>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AD30DC"/>
    <w:pPr>
      <w:adjustRightInd w:val="0"/>
      <w:snapToGrid w:val="0"/>
      <w:spacing w:after="0" w:line="228" w:lineRule="auto"/>
      <w:ind w:left="2608" w:right="475" w:firstLine="432"/>
      <w:jc w:val="both"/>
    </w:pPr>
    <w:rPr>
      <w:rFonts w:ascii="Palatino Linotype" w:eastAsia="Times New Roman" w:hAnsi="Palatino Linotype" w:cs="Cordia New"/>
      <w:color w:val="000000"/>
      <w:sz w:val="18"/>
      <w:lang w:eastAsia="de-DE" w:bidi="en-US"/>
    </w:rPr>
  </w:style>
  <w:style w:type="paragraph" w:customStyle="1" w:styleId="MDPI51figurecaption">
    <w:name w:val="MDPI_5.1_figure_caption"/>
    <w:qFormat/>
    <w:rsid w:val="00AD30DC"/>
    <w:pPr>
      <w:adjustRightInd w:val="0"/>
      <w:snapToGrid w:val="0"/>
      <w:spacing w:before="120" w:after="240" w:line="228" w:lineRule="auto"/>
      <w:ind w:left="2608" w:right="475" w:firstLine="432"/>
      <w:jc w:val="both"/>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AD30DC"/>
    <w:pPr>
      <w:adjustRightInd w:val="0"/>
      <w:snapToGrid w:val="0"/>
      <w:spacing w:before="240" w:after="120" w:line="228" w:lineRule="auto"/>
      <w:ind w:left="720" w:right="475" w:firstLine="432"/>
      <w:jc w:val="center"/>
    </w:pPr>
    <w:rPr>
      <w:rFonts w:ascii="Palatino Linotype" w:eastAsia="Times New Roman" w:hAnsi="Palatino Linotype" w:cs="Times New Roman"/>
      <w:snapToGrid w:val="0"/>
      <w:color w:val="000000"/>
      <w:sz w:val="20"/>
      <w:szCs w:val="20"/>
      <w:lang w:eastAsia="de-DE" w:bidi="en-US"/>
    </w:rPr>
  </w:style>
  <w:style w:type="paragraph" w:customStyle="1" w:styleId="MDPI81theorem">
    <w:name w:val="MDPI_8.1_theorem"/>
    <w:qFormat/>
    <w:rsid w:val="00AD30DC"/>
    <w:pPr>
      <w:adjustRightInd w:val="0"/>
      <w:snapToGrid w:val="0"/>
      <w:spacing w:after="0" w:line="228" w:lineRule="auto"/>
      <w:ind w:left="2608" w:right="475" w:firstLine="432"/>
      <w:jc w:val="both"/>
    </w:pPr>
    <w:rPr>
      <w:rFonts w:ascii="Palatino Linotype" w:eastAsia="Times New Roman" w:hAnsi="Palatino Linotype" w:cs="Times New Roman"/>
      <w:i/>
      <w:snapToGrid w:val="0"/>
      <w:color w:val="000000"/>
      <w:sz w:val="20"/>
      <w:lang w:eastAsia="de-DE" w:bidi="en-US"/>
    </w:rPr>
  </w:style>
  <w:style w:type="paragraph" w:customStyle="1" w:styleId="MDPI82proof">
    <w:name w:val="MDPI_8.2_proof"/>
    <w:qFormat/>
    <w:rsid w:val="00AD30DC"/>
    <w:pPr>
      <w:adjustRightInd w:val="0"/>
      <w:snapToGrid w:val="0"/>
      <w:spacing w:after="0" w:line="228" w:lineRule="auto"/>
      <w:ind w:left="2608" w:right="475" w:firstLine="432"/>
      <w:jc w:val="both"/>
    </w:pPr>
    <w:rPr>
      <w:rFonts w:ascii="Palatino Linotype" w:eastAsia="Times New Roman" w:hAnsi="Palatino Linotype" w:cs="Times New Roman"/>
      <w:snapToGrid w:val="0"/>
      <w:color w:val="000000"/>
      <w:sz w:val="20"/>
      <w:lang w:eastAsia="de-DE" w:bidi="en-US"/>
    </w:rPr>
  </w:style>
  <w:style w:type="paragraph" w:customStyle="1" w:styleId="MDPIfooterfirstpage">
    <w:name w:val="MDPI_footer_firstpage"/>
    <w:qFormat/>
    <w:rsid w:val="00AD30DC"/>
    <w:pPr>
      <w:tabs>
        <w:tab w:val="right" w:pos="8845"/>
      </w:tabs>
      <w:spacing w:after="0" w:line="160" w:lineRule="exact"/>
      <w:ind w:left="720" w:right="475" w:firstLine="432"/>
      <w:jc w:val="both"/>
    </w:pPr>
    <w:rPr>
      <w:rFonts w:ascii="Palatino Linotype" w:eastAsia="Times New Roman" w:hAnsi="Palatino Linotype" w:cs="Times New Roman"/>
      <w:color w:val="000000"/>
      <w:sz w:val="16"/>
      <w:szCs w:val="20"/>
      <w:lang w:eastAsia="de-DE"/>
    </w:rPr>
  </w:style>
  <w:style w:type="paragraph" w:customStyle="1" w:styleId="MDPI23heading3">
    <w:name w:val="MDPI_2.3_heading3"/>
    <w:qFormat/>
    <w:rsid w:val="00AD30DC"/>
    <w:pPr>
      <w:adjustRightInd w:val="0"/>
      <w:snapToGrid w:val="0"/>
      <w:spacing w:before="60" w:after="60" w:line="228" w:lineRule="auto"/>
      <w:ind w:left="2608" w:right="475" w:firstLine="432"/>
      <w:jc w:val="both"/>
      <w:outlineLvl w:val="2"/>
    </w:pPr>
    <w:rPr>
      <w:rFonts w:ascii="Palatino Linotype" w:eastAsia="Times New Roman" w:hAnsi="Palatino Linotype" w:cs="Times New Roman"/>
      <w:snapToGrid w:val="0"/>
      <w:color w:val="000000"/>
      <w:sz w:val="20"/>
      <w:lang w:eastAsia="de-DE" w:bidi="en-US"/>
    </w:rPr>
  </w:style>
  <w:style w:type="paragraph" w:customStyle="1" w:styleId="MDPI21heading1">
    <w:name w:val="MDPI_2.1_heading1"/>
    <w:qFormat/>
    <w:rsid w:val="00AD30DC"/>
    <w:pPr>
      <w:adjustRightInd w:val="0"/>
      <w:snapToGrid w:val="0"/>
      <w:spacing w:before="240" w:after="60" w:line="228" w:lineRule="auto"/>
      <w:ind w:left="2608" w:right="475" w:firstLine="432"/>
      <w:jc w:val="both"/>
      <w:outlineLvl w:val="0"/>
    </w:pPr>
    <w:rPr>
      <w:rFonts w:ascii="Palatino Linotype" w:eastAsia="Times New Roman" w:hAnsi="Palatino Linotype" w:cs="Times New Roman"/>
      <w:b/>
      <w:snapToGrid w:val="0"/>
      <w:color w:val="000000"/>
      <w:sz w:val="20"/>
      <w:lang w:eastAsia="de-DE" w:bidi="en-US"/>
    </w:rPr>
  </w:style>
  <w:style w:type="paragraph" w:customStyle="1" w:styleId="MDPI22heading2">
    <w:name w:val="MDPI_2.2_heading2"/>
    <w:qFormat/>
    <w:rsid w:val="00AD30DC"/>
    <w:pPr>
      <w:adjustRightInd w:val="0"/>
      <w:snapToGrid w:val="0"/>
      <w:spacing w:before="60" w:after="60" w:line="228" w:lineRule="auto"/>
      <w:ind w:left="2608" w:right="475" w:firstLine="432"/>
      <w:jc w:val="both"/>
      <w:outlineLvl w:val="1"/>
    </w:pPr>
    <w:rPr>
      <w:rFonts w:ascii="Palatino Linotype" w:eastAsia="Times New Roman" w:hAnsi="Palatino Linotype" w:cs="Times New Roman"/>
      <w:i/>
      <w:noProof/>
      <w:snapToGrid w:val="0"/>
      <w:color w:val="000000"/>
      <w:sz w:val="20"/>
      <w:lang w:eastAsia="de-DE" w:bidi="en-US"/>
    </w:rPr>
  </w:style>
  <w:style w:type="paragraph" w:customStyle="1" w:styleId="MDPI71References">
    <w:name w:val="MDPI_7.1_References"/>
    <w:qFormat/>
    <w:rsid w:val="00AD30DC"/>
    <w:pPr>
      <w:numPr>
        <w:numId w:val="15"/>
      </w:numPr>
      <w:adjustRightInd w:val="0"/>
      <w:snapToGrid w:val="0"/>
      <w:spacing w:after="0" w:line="228" w:lineRule="auto"/>
      <w:ind w:right="475"/>
      <w:jc w:val="both"/>
    </w:pPr>
    <w:rPr>
      <w:rFonts w:ascii="Palatino Linotype" w:eastAsia="Times New Roman" w:hAnsi="Palatino Linotype" w:cs="Times New Roman"/>
      <w:color w:val="000000"/>
      <w:sz w:val="18"/>
      <w:szCs w:val="20"/>
      <w:lang w:eastAsia="de-DE" w:bidi="en-US"/>
    </w:rPr>
  </w:style>
  <w:style w:type="paragraph" w:styleId="BalloonText">
    <w:name w:val="Balloon Text"/>
    <w:basedOn w:val="Normal"/>
    <w:link w:val="BalloonTextChar"/>
    <w:uiPriority w:val="99"/>
    <w:rsid w:val="00AD30DC"/>
    <w:pPr>
      <w:spacing w:line="228" w:lineRule="auto"/>
      <w:ind w:left="720" w:right="475" w:firstLine="432"/>
      <w:jc w:val="both"/>
    </w:pPr>
    <w:rPr>
      <w:rFonts w:ascii="Palatino Linotype" w:eastAsia="SimSun" w:hAnsi="Palatino Linotype" w:cs="Tahoma"/>
      <w:noProof/>
      <w:color w:val="000000"/>
      <w:sz w:val="20"/>
      <w:szCs w:val="18"/>
      <w:lang w:eastAsia="zh-CN"/>
    </w:rPr>
  </w:style>
  <w:style w:type="character" w:customStyle="1" w:styleId="BalloonTextChar">
    <w:name w:val="Balloon Text Char"/>
    <w:link w:val="BalloonText"/>
    <w:uiPriority w:val="99"/>
    <w:rsid w:val="00AD30DC"/>
    <w:rPr>
      <w:rFonts w:ascii="Palatino Linotype" w:eastAsia="SimSun" w:hAnsi="Palatino Linotype" w:cs="Tahoma"/>
      <w:noProof/>
      <w:color w:val="000000"/>
      <w:sz w:val="20"/>
      <w:szCs w:val="18"/>
      <w:lang w:eastAsia="zh-CN"/>
    </w:rPr>
  </w:style>
  <w:style w:type="character" w:styleId="LineNumber">
    <w:name w:val="line number"/>
    <w:uiPriority w:val="99"/>
    <w:rsid w:val="00AD30DC"/>
    <w:rPr>
      <w:rFonts w:ascii="Palatino Linotype" w:hAnsi="Palatino Linotype"/>
      <w:sz w:val="16"/>
    </w:rPr>
  </w:style>
  <w:style w:type="table" w:customStyle="1" w:styleId="MDPI41threelinetable">
    <w:name w:val="MDPI_4.1_three_line_table"/>
    <w:basedOn w:val="TableNormal"/>
    <w:uiPriority w:val="99"/>
    <w:rsid w:val="00AD30DC"/>
    <w:pPr>
      <w:adjustRightInd w:val="0"/>
      <w:snapToGrid w:val="0"/>
      <w:spacing w:after="0" w:line="228" w:lineRule="auto"/>
      <w:ind w:left="720" w:right="475" w:firstLine="432"/>
      <w:jc w:val="center"/>
    </w:pPr>
    <w:rPr>
      <w:rFonts w:ascii="Palatino Linotype" w:eastAsia="SimSun" w:hAnsi="Palatino Linotype" w:cs="Times New Roman"/>
      <w:color w:val="000000"/>
      <w:sz w:val="20"/>
      <w:szCs w:val="20"/>
      <w:lang w:eastAsia="zh-CN"/>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AD30DC"/>
    <w:rPr>
      <w:color w:val="0000FF"/>
      <w:u w:val="single"/>
    </w:rPr>
  </w:style>
  <w:style w:type="character" w:customStyle="1" w:styleId="UnresolvedMention1">
    <w:name w:val="Unresolved Mention1"/>
    <w:uiPriority w:val="99"/>
    <w:semiHidden/>
    <w:unhideWhenUsed/>
    <w:rsid w:val="00AD30DC"/>
    <w:rPr>
      <w:color w:val="605E5C"/>
      <w:shd w:val="clear" w:color="auto" w:fill="E1DFDD"/>
    </w:rPr>
  </w:style>
  <w:style w:type="table" w:styleId="TableGrid">
    <w:name w:val="Table Grid"/>
    <w:basedOn w:val="TableNormal"/>
    <w:uiPriority w:val="39"/>
    <w:rsid w:val="00AD30DC"/>
    <w:pPr>
      <w:spacing w:after="0" w:line="260" w:lineRule="atLeast"/>
      <w:ind w:left="720" w:right="475" w:firstLine="432"/>
      <w:jc w:val="both"/>
    </w:pPr>
    <w:rPr>
      <w:rFonts w:ascii="Palatino Linotype" w:eastAsia="SimSun" w:hAnsi="Palatino Linotype" w:cs="Times New Roman"/>
      <w:color w:val="00000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uiPriority w:val="44"/>
    <w:rsid w:val="00AD30DC"/>
    <w:pPr>
      <w:spacing w:after="0" w:line="228" w:lineRule="auto"/>
      <w:ind w:left="720" w:right="475" w:firstLine="432"/>
      <w:jc w:val="both"/>
    </w:pPr>
    <w:rPr>
      <w:rFonts w:ascii="Calibri" w:eastAsia="SimSun" w:hAnsi="Calibri" w:cs="Times New Roman"/>
      <w:sz w:val="20"/>
      <w:szCs w:val="20"/>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AD30DC"/>
    <w:pPr>
      <w:adjustRightInd w:val="0"/>
      <w:snapToGrid w:val="0"/>
      <w:spacing w:after="0" w:line="240" w:lineRule="atLeast"/>
      <w:ind w:left="720" w:right="113" w:firstLine="432"/>
      <w:jc w:val="both"/>
    </w:pPr>
    <w:rPr>
      <w:rFonts w:ascii="Palatino Linotype" w:eastAsia="SimSun" w:hAnsi="Palatino Linotype" w:cs="Cordia New"/>
      <w:sz w:val="14"/>
      <w:lang w:eastAsia="zh-CN"/>
    </w:rPr>
  </w:style>
  <w:style w:type="paragraph" w:customStyle="1" w:styleId="MDPI62BackMatter">
    <w:name w:val="MDPI_6.2_BackMatter"/>
    <w:qFormat/>
    <w:rsid w:val="00AD30DC"/>
    <w:pPr>
      <w:adjustRightInd w:val="0"/>
      <w:snapToGrid w:val="0"/>
      <w:spacing w:after="120" w:line="228" w:lineRule="auto"/>
      <w:ind w:left="2608" w:right="475" w:firstLine="432"/>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AD30DC"/>
    <w:pPr>
      <w:adjustRightInd w:val="0"/>
      <w:snapToGrid w:val="0"/>
      <w:spacing w:after="120" w:line="240" w:lineRule="atLeast"/>
      <w:ind w:left="720" w:right="113" w:firstLine="432"/>
      <w:jc w:val="both"/>
    </w:pPr>
    <w:rPr>
      <w:rFonts w:ascii="Palatino Linotype" w:eastAsia="SimSun" w:hAnsi="Palatino Linotype" w:cs="Times New Roman"/>
      <w:snapToGrid w:val="0"/>
      <w:color w:val="000000"/>
      <w:sz w:val="14"/>
      <w:szCs w:val="20"/>
      <w:lang w:bidi="en-US"/>
    </w:rPr>
  </w:style>
  <w:style w:type="paragraph" w:customStyle="1" w:styleId="MDPI15academiceditor">
    <w:name w:val="MDPI_1.5_academic_editor"/>
    <w:qFormat/>
    <w:rsid w:val="00AD30DC"/>
    <w:pPr>
      <w:adjustRightInd w:val="0"/>
      <w:snapToGrid w:val="0"/>
      <w:spacing w:before="120" w:after="0" w:line="240" w:lineRule="atLeast"/>
      <w:ind w:left="720" w:right="113" w:firstLine="432"/>
      <w:jc w:val="both"/>
    </w:pPr>
    <w:rPr>
      <w:rFonts w:ascii="Palatino Linotype" w:eastAsia="Times New Roman" w:hAnsi="Palatino Linotype" w:cs="Times New Roman"/>
      <w:color w:val="000000"/>
      <w:sz w:val="14"/>
      <w:lang w:eastAsia="de-DE" w:bidi="en-US"/>
    </w:rPr>
  </w:style>
  <w:style w:type="paragraph" w:customStyle="1" w:styleId="MDPI19classification">
    <w:name w:val="MDPI_1.9_classification"/>
    <w:qFormat/>
    <w:rsid w:val="00AD30DC"/>
    <w:pPr>
      <w:spacing w:before="240" w:after="0" w:line="260" w:lineRule="atLeast"/>
      <w:ind w:left="113" w:right="475" w:firstLine="432"/>
      <w:jc w:val="both"/>
    </w:pPr>
    <w:rPr>
      <w:rFonts w:ascii="Palatino Linotype" w:eastAsia="Times New Roman" w:hAnsi="Palatino Linotype" w:cs="Times New Roman"/>
      <w:b/>
      <w:color w:val="000000"/>
      <w:sz w:val="20"/>
      <w:lang w:eastAsia="de-DE" w:bidi="en-US"/>
    </w:rPr>
  </w:style>
  <w:style w:type="paragraph" w:customStyle="1" w:styleId="MDPI411onetablecaption">
    <w:name w:val="MDPI_4.1.1_one_table_caption"/>
    <w:qFormat/>
    <w:rsid w:val="00AD30DC"/>
    <w:pPr>
      <w:adjustRightInd w:val="0"/>
      <w:snapToGrid w:val="0"/>
      <w:spacing w:before="240" w:after="120" w:line="260" w:lineRule="atLeast"/>
      <w:ind w:left="720" w:right="475" w:firstLine="432"/>
      <w:jc w:val="center"/>
    </w:pPr>
    <w:rPr>
      <w:rFonts w:ascii="Palatino Linotype" w:eastAsia="SimSun" w:hAnsi="Palatino Linotype" w:cs="Cordia New"/>
      <w:noProof/>
      <w:color w:val="000000"/>
      <w:sz w:val="18"/>
      <w:lang w:eastAsia="zh-CN" w:bidi="en-US"/>
    </w:rPr>
  </w:style>
  <w:style w:type="paragraph" w:customStyle="1" w:styleId="MDPI511onefigurecaption">
    <w:name w:val="MDPI_5.1.1_one_figure_caption"/>
    <w:qFormat/>
    <w:rsid w:val="00AD30DC"/>
    <w:pPr>
      <w:adjustRightInd w:val="0"/>
      <w:snapToGrid w:val="0"/>
      <w:spacing w:before="240" w:after="120" w:line="260" w:lineRule="atLeast"/>
      <w:ind w:left="720" w:right="475" w:firstLine="432"/>
      <w:jc w:val="center"/>
    </w:pPr>
    <w:rPr>
      <w:rFonts w:ascii="Palatino Linotype" w:eastAsia="SimSun" w:hAnsi="Palatino Linotype" w:cs="Times New Roman"/>
      <w:noProof/>
      <w:color w:val="000000"/>
      <w:sz w:val="18"/>
      <w:szCs w:val="20"/>
      <w:lang w:eastAsia="zh-CN" w:bidi="en-US"/>
    </w:rPr>
  </w:style>
  <w:style w:type="paragraph" w:customStyle="1" w:styleId="MDPI72Copyright">
    <w:name w:val="MDPI_7.2_Copyright"/>
    <w:qFormat/>
    <w:rsid w:val="00AD30DC"/>
    <w:pPr>
      <w:adjustRightInd w:val="0"/>
      <w:snapToGrid w:val="0"/>
      <w:spacing w:before="240" w:after="0" w:line="240" w:lineRule="atLeast"/>
      <w:ind w:left="720" w:right="113" w:firstLine="432"/>
      <w:jc w:val="both"/>
    </w:pPr>
    <w:rPr>
      <w:rFonts w:ascii="Palatino Linotype" w:eastAsia="Times New Roman" w:hAnsi="Palatino Linotype" w:cs="Times New Roman"/>
      <w:noProof/>
      <w:snapToGrid w:val="0"/>
      <w:color w:val="000000"/>
      <w:spacing w:val="-2"/>
      <w:sz w:val="14"/>
      <w:szCs w:val="20"/>
      <w:lang w:val="en-GB" w:eastAsia="en-GB"/>
    </w:rPr>
  </w:style>
  <w:style w:type="paragraph" w:customStyle="1" w:styleId="MDPI73CopyrightImage">
    <w:name w:val="MDPI_7.3_CopyrightImage"/>
    <w:rsid w:val="00AD30DC"/>
    <w:pPr>
      <w:adjustRightInd w:val="0"/>
      <w:snapToGrid w:val="0"/>
      <w:spacing w:after="100" w:line="260" w:lineRule="atLeast"/>
      <w:ind w:left="720" w:right="475" w:firstLine="432"/>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AD30DC"/>
    <w:pPr>
      <w:adjustRightInd w:val="0"/>
      <w:snapToGrid w:val="0"/>
      <w:spacing w:before="120" w:after="120" w:line="228" w:lineRule="auto"/>
      <w:ind w:left="720" w:right="475" w:firstLine="432"/>
      <w:jc w:val="center"/>
    </w:pPr>
    <w:rPr>
      <w:rFonts w:ascii="Palatino Linotype" w:eastAsia="Times New Roman" w:hAnsi="Palatino Linotype" w:cs="Times New Roman"/>
      <w:snapToGrid w:val="0"/>
      <w:color w:val="000000"/>
      <w:sz w:val="20"/>
      <w:lang w:eastAsia="de-DE" w:bidi="en-US"/>
    </w:rPr>
  </w:style>
  <w:style w:type="paragraph" w:customStyle="1" w:styleId="MDPIfooter">
    <w:name w:val="MDPI_footer"/>
    <w:qFormat/>
    <w:rsid w:val="00AD30DC"/>
    <w:pPr>
      <w:adjustRightInd w:val="0"/>
      <w:snapToGrid w:val="0"/>
      <w:spacing w:before="120" w:after="0" w:line="260" w:lineRule="atLeast"/>
      <w:ind w:left="720" w:right="475" w:firstLine="432"/>
      <w:jc w:val="center"/>
    </w:pPr>
    <w:rPr>
      <w:rFonts w:ascii="Palatino Linotype" w:eastAsia="Times New Roman" w:hAnsi="Palatino Linotype" w:cs="Times New Roman"/>
      <w:color w:val="000000"/>
      <w:sz w:val="20"/>
      <w:szCs w:val="20"/>
      <w:lang w:eastAsia="de-DE"/>
    </w:rPr>
  </w:style>
  <w:style w:type="paragraph" w:customStyle="1" w:styleId="MDPIheader">
    <w:name w:val="MDPI_header"/>
    <w:qFormat/>
    <w:rsid w:val="00AD30DC"/>
    <w:pPr>
      <w:adjustRightInd w:val="0"/>
      <w:snapToGrid w:val="0"/>
      <w:spacing w:after="240" w:line="260" w:lineRule="atLeast"/>
      <w:ind w:left="720" w:right="475" w:firstLine="432"/>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AD30DC"/>
    <w:pPr>
      <w:spacing w:after="240" w:line="228" w:lineRule="auto"/>
      <w:ind w:left="720" w:right="475" w:firstLine="432"/>
      <w:jc w:val="both"/>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AD30DC"/>
    <w:pPr>
      <w:adjustRightInd w:val="0"/>
      <w:snapToGrid w:val="0"/>
      <w:spacing w:after="0" w:line="260" w:lineRule="atLeast"/>
      <w:ind w:left="720" w:right="475" w:firstLine="432"/>
      <w:jc w:val="right"/>
    </w:pPr>
    <w:rPr>
      <w:rFonts w:ascii="Palatino Linotype" w:eastAsia="Times New Roman" w:hAnsi="Palatino Linotype" w:cs="Times New Roman"/>
      <w:color w:val="000000"/>
      <w:sz w:val="24"/>
      <w:lang w:eastAsia="de-CH"/>
    </w:rPr>
  </w:style>
  <w:style w:type="table" w:customStyle="1" w:styleId="MDPITable">
    <w:name w:val="MDPI_Table"/>
    <w:basedOn w:val="TableNormal"/>
    <w:uiPriority w:val="99"/>
    <w:rsid w:val="00AD30DC"/>
    <w:pPr>
      <w:spacing w:after="0" w:line="228" w:lineRule="auto"/>
      <w:ind w:left="720" w:right="475" w:firstLine="432"/>
      <w:jc w:val="both"/>
    </w:pPr>
    <w:rPr>
      <w:rFonts w:ascii="Palatino Linotype" w:eastAsia="SimSun" w:hAnsi="Palatino Linotype" w:cs="Times New Roman"/>
      <w:color w:val="000000"/>
      <w:sz w:val="20"/>
      <w:szCs w:val="20"/>
      <w:lang w:val="en-CA"/>
    </w:rPr>
    <w:tblPr>
      <w:tblCellMar>
        <w:left w:w="0" w:type="dxa"/>
        <w:right w:w="0" w:type="dxa"/>
      </w:tblCellMar>
    </w:tblPr>
  </w:style>
  <w:style w:type="paragraph" w:customStyle="1" w:styleId="MDPItext">
    <w:name w:val="MDPI_text"/>
    <w:qFormat/>
    <w:rsid w:val="00AD30DC"/>
    <w:pPr>
      <w:spacing w:after="0" w:line="260" w:lineRule="atLeast"/>
      <w:ind w:left="425" w:right="425" w:firstLine="284"/>
      <w:jc w:val="both"/>
    </w:pPr>
    <w:rPr>
      <w:rFonts w:ascii="Times New Roman" w:eastAsia="Times New Roman" w:hAnsi="Times New Roman" w:cs="Times New Roman"/>
      <w:noProof/>
      <w:snapToGrid w:val="0"/>
      <w:color w:val="000000"/>
      <w:lang w:eastAsia="de-DE" w:bidi="en-US"/>
    </w:rPr>
  </w:style>
  <w:style w:type="paragraph" w:customStyle="1" w:styleId="MDPItitle">
    <w:name w:val="MDPI_title"/>
    <w:qFormat/>
    <w:rsid w:val="00AD30DC"/>
    <w:pPr>
      <w:adjustRightInd w:val="0"/>
      <w:snapToGrid w:val="0"/>
      <w:spacing w:after="240" w:line="260" w:lineRule="atLeast"/>
      <w:ind w:left="720" w:right="475" w:firstLine="432"/>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AD30DC"/>
  </w:style>
  <w:style w:type="paragraph" w:styleId="Bibliography">
    <w:name w:val="Bibliography"/>
    <w:basedOn w:val="Normal"/>
    <w:next w:val="Normal"/>
    <w:uiPriority w:val="37"/>
    <w:semiHidden/>
    <w:unhideWhenUsed/>
    <w:rsid w:val="00AD30DC"/>
    <w:pPr>
      <w:spacing w:line="228" w:lineRule="auto"/>
      <w:ind w:left="720" w:right="475" w:firstLine="432"/>
      <w:jc w:val="both"/>
    </w:pPr>
    <w:rPr>
      <w:rFonts w:ascii="Palatino Linotype" w:eastAsia="SimSun" w:hAnsi="Palatino Linotype"/>
      <w:noProof/>
      <w:color w:val="000000"/>
      <w:sz w:val="20"/>
      <w:szCs w:val="20"/>
      <w:lang w:eastAsia="zh-CN"/>
    </w:rPr>
  </w:style>
  <w:style w:type="paragraph" w:styleId="BodyText">
    <w:name w:val="Body Text"/>
    <w:link w:val="BodyTextChar"/>
    <w:rsid w:val="00AD30DC"/>
    <w:pPr>
      <w:spacing w:after="120" w:line="340" w:lineRule="atLeast"/>
      <w:ind w:left="720" w:right="475" w:firstLine="432"/>
      <w:jc w:val="both"/>
    </w:pPr>
    <w:rPr>
      <w:rFonts w:ascii="Palatino Linotype" w:eastAsia="SimSun" w:hAnsi="Palatino Linotype" w:cs="Times New Roman"/>
      <w:color w:val="000000"/>
      <w:sz w:val="24"/>
      <w:szCs w:val="20"/>
      <w:lang w:eastAsia="de-DE"/>
    </w:rPr>
  </w:style>
  <w:style w:type="character" w:customStyle="1" w:styleId="BodyTextChar">
    <w:name w:val="Body Text Char"/>
    <w:link w:val="BodyText"/>
    <w:rsid w:val="00AD30DC"/>
    <w:rPr>
      <w:rFonts w:ascii="Palatino Linotype" w:eastAsia="SimSun" w:hAnsi="Palatino Linotype" w:cs="Times New Roman"/>
      <w:color w:val="000000"/>
      <w:sz w:val="24"/>
      <w:szCs w:val="20"/>
      <w:lang w:eastAsia="de-DE"/>
    </w:rPr>
  </w:style>
  <w:style w:type="character" w:styleId="CommentReference">
    <w:name w:val="annotation reference"/>
    <w:rsid w:val="00AD30DC"/>
    <w:rPr>
      <w:sz w:val="21"/>
      <w:szCs w:val="21"/>
    </w:rPr>
  </w:style>
  <w:style w:type="paragraph" w:styleId="CommentText">
    <w:name w:val="annotation text"/>
    <w:basedOn w:val="Normal"/>
    <w:link w:val="CommentTextChar"/>
    <w:rsid w:val="00AD30DC"/>
    <w:pPr>
      <w:spacing w:line="228" w:lineRule="auto"/>
      <w:ind w:left="720" w:right="475" w:firstLine="432"/>
      <w:jc w:val="both"/>
    </w:pPr>
    <w:rPr>
      <w:rFonts w:ascii="Palatino Linotype" w:eastAsia="SimSun" w:hAnsi="Palatino Linotype"/>
      <w:noProof/>
      <w:color w:val="000000"/>
      <w:sz w:val="20"/>
      <w:szCs w:val="20"/>
      <w:lang w:eastAsia="zh-CN"/>
    </w:rPr>
  </w:style>
  <w:style w:type="character" w:customStyle="1" w:styleId="CommentTextChar">
    <w:name w:val="Comment Text Char"/>
    <w:link w:val="CommentText"/>
    <w:rsid w:val="00AD30DC"/>
    <w:rPr>
      <w:rFonts w:ascii="Palatino Linotype" w:eastAsia="SimSun" w:hAnsi="Palatino Linotype" w:cs="Times New Roman"/>
      <w:noProof/>
      <w:color w:val="000000"/>
      <w:sz w:val="20"/>
      <w:szCs w:val="20"/>
      <w:lang w:eastAsia="zh-CN"/>
    </w:rPr>
  </w:style>
  <w:style w:type="paragraph" w:styleId="CommentSubject">
    <w:name w:val="annotation subject"/>
    <w:basedOn w:val="CommentText"/>
    <w:next w:val="CommentText"/>
    <w:link w:val="CommentSubjectChar"/>
    <w:rsid w:val="00AD30DC"/>
    <w:rPr>
      <w:b/>
      <w:bCs/>
    </w:rPr>
  </w:style>
  <w:style w:type="character" w:customStyle="1" w:styleId="CommentSubjectChar">
    <w:name w:val="Comment Subject Char"/>
    <w:link w:val="CommentSubject"/>
    <w:rsid w:val="00AD30DC"/>
    <w:rPr>
      <w:rFonts w:ascii="Palatino Linotype" w:eastAsia="SimSun" w:hAnsi="Palatino Linotype" w:cs="Times New Roman"/>
      <w:b/>
      <w:bCs/>
      <w:noProof/>
      <w:color w:val="000000"/>
      <w:sz w:val="20"/>
      <w:szCs w:val="20"/>
      <w:lang w:eastAsia="zh-CN"/>
    </w:rPr>
  </w:style>
  <w:style w:type="character" w:styleId="EndnoteReference">
    <w:name w:val="endnote reference"/>
    <w:rsid w:val="00AD30DC"/>
    <w:rPr>
      <w:vertAlign w:val="superscript"/>
    </w:rPr>
  </w:style>
  <w:style w:type="paragraph" w:styleId="EndnoteText">
    <w:name w:val="endnote text"/>
    <w:basedOn w:val="Normal"/>
    <w:link w:val="EndnoteTextChar"/>
    <w:semiHidden/>
    <w:unhideWhenUsed/>
    <w:rsid w:val="00AD30DC"/>
    <w:pPr>
      <w:ind w:left="720" w:right="475" w:firstLine="432"/>
      <w:jc w:val="both"/>
    </w:pPr>
    <w:rPr>
      <w:rFonts w:ascii="Palatino Linotype" w:eastAsia="SimSun" w:hAnsi="Palatino Linotype"/>
      <w:noProof/>
      <w:color w:val="000000"/>
      <w:sz w:val="20"/>
      <w:szCs w:val="20"/>
      <w:lang w:eastAsia="zh-CN"/>
    </w:rPr>
  </w:style>
  <w:style w:type="character" w:customStyle="1" w:styleId="EndnoteTextChar">
    <w:name w:val="Endnote Text Char"/>
    <w:link w:val="EndnoteText"/>
    <w:semiHidden/>
    <w:rsid w:val="00AD30DC"/>
    <w:rPr>
      <w:rFonts w:ascii="Palatino Linotype" w:eastAsia="SimSun" w:hAnsi="Palatino Linotype" w:cs="Times New Roman"/>
      <w:noProof/>
      <w:color w:val="000000"/>
      <w:sz w:val="20"/>
      <w:szCs w:val="20"/>
      <w:lang w:eastAsia="zh-CN"/>
    </w:rPr>
  </w:style>
  <w:style w:type="character" w:styleId="FollowedHyperlink">
    <w:name w:val="FollowedHyperlink"/>
    <w:rsid w:val="00AD30DC"/>
    <w:rPr>
      <w:color w:val="954F72"/>
      <w:u w:val="single"/>
    </w:rPr>
  </w:style>
  <w:style w:type="paragraph" w:styleId="FootnoteText">
    <w:name w:val="footnote text"/>
    <w:basedOn w:val="Normal"/>
    <w:link w:val="FootnoteTextChar"/>
    <w:semiHidden/>
    <w:unhideWhenUsed/>
    <w:rsid w:val="00AD30DC"/>
    <w:pPr>
      <w:ind w:left="720" w:right="475" w:firstLine="432"/>
      <w:jc w:val="both"/>
    </w:pPr>
    <w:rPr>
      <w:rFonts w:ascii="Palatino Linotype" w:eastAsia="SimSun" w:hAnsi="Palatino Linotype"/>
      <w:noProof/>
      <w:color w:val="000000"/>
      <w:sz w:val="20"/>
      <w:szCs w:val="20"/>
      <w:lang w:eastAsia="zh-CN"/>
    </w:rPr>
  </w:style>
  <w:style w:type="character" w:customStyle="1" w:styleId="FootnoteTextChar">
    <w:name w:val="Footnote Text Char"/>
    <w:link w:val="FootnoteText"/>
    <w:semiHidden/>
    <w:rsid w:val="00AD30DC"/>
    <w:rPr>
      <w:rFonts w:ascii="Palatino Linotype" w:eastAsia="SimSun" w:hAnsi="Palatino Linotype" w:cs="Times New Roman"/>
      <w:noProof/>
      <w:color w:val="000000"/>
      <w:sz w:val="20"/>
      <w:szCs w:val="20"/>
      <w:lang w:eastAsia="zh-CN"/>
    </w:rPr>
  </w:style>
  <w:style w:type="paragraph" w:styleId="NormalWeb">
    <w:name w:val="Normal (Web)"/>
    <w:basedOn w:val="Normal"/>
    <w:uiPriority w:val="99"/>
    <w:rsid w:val="00AD30DC"/>
    <w:pPr>
      <w:spacing w:line="228" w:lineRule="auto"/>
      <w:ind w:left="720" w:right="475" w:firstLine="432"/>
      <w:jc w:val="both"/>
    </w:pPr>
    <w:rPr>
      <w:rFonts w:ascii="Palatino Linotype" w:eastAsia="SimSun" w:hAnsi="Palatino Linotype"/>
      <w:noProof/>
      <w:color w:val="000000"/>
      <w:sz w:val="20"/>
      <w:lang w:eastAsia="zh-CN"/>
    </w:rPr>
  </w:style>
  <w:style w:type="paragraph" w:customStyle="1" w:styleId="MsoFootnoteText0">
    <w:name w:val="MsoFootnoteText"/>
    <w:basedOn w:val="NormalWeb"/>
    <w:qFormat/>
    <w:rsid w:val="00AD30DC"/>
    <w:rPr>
      <w:rFonts w:ascii="Times New Roman" w:hAnsi="Times New Roman"/>
    </w:rPr>
  </w:style>
  <w:style w:type="character" w:styleId="PageNumber">
    <w:name w:val="page number"/>
    <w:rsid w:val="00AD30DC"/>
  </w:style>
  <w:style w:type="character" w:styleId="PlaceholderText">
    <w:name w:val="Placeholder Text"/>
    <w:uiPriority w:val="99"/>
    <w:semiHidden/>
    <w:rsid w:val="00AD30DC"/>
    <w:rPr>
      <w:color w:val="808080"/>
    </w:rPr>
  </w:style>
  <w:style w:type="paragraph" w:customStyle="1" w:styleId="MDPI71FootNotes">
    <w:name w:val="MDPI_7.1_FootNotes"/>
    <w:qFormat/>
    <w:rsid w:val="00AD30DC"/>
    <w:pPr>
      <w:numPr>
        <w:numId w:val="13"/>
      </w:numPr>
      <w:adjustRightInd w:val="0"/>
      <w:snapToGrid w:val="0"/>
      <w:spacing w:after="0" w:line="228" w:lineRule="auto"/>
      <w:ind w:right="475"/>
      <w:jc w:val="both"/>
    </w:pPr>
    <w:rPr>
      <w:rFonts w:ascii="Palatino Linotype" w:hAnsi="Palatino Linotype" w:cs="Times New Roman"/>
      <w:noProof/>
      <w:color w:val="000000"/>
      <w:sz w:val="18"/>
      <w:szCs w:val="20"/>
      <w:lang w:eastAsia="zh-CN"/>
    </w:rPr>
  </w:style>
  <w:style w:type="table" w:customStyle="1" w:styleId="ListTable6Colorful1">
    <w:name w:val="List Table 6 Colorful1"/>
    <w:basedOn w:val="TableNormal"/>
    <w:uiPriority w:val="51"/>
    <w:rsid w:val="00AD30D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ody">
    <w:name w:val="Body"/>
    <w:link w:val="BodyChar"/>
    <w:rsid w:val="00AD30DC"/>
    <w:pPr>
      <w:pBdr>
        <w:top w:val="nil"/>
        <w:left w:val="nil"/>
        <w:bottom w:val="nil"/>
        <w:right w:val="nil"/>
        <w:between w:val="nil"/>
        <w:bar w:val="nil"/>
      </w:pBdr>
      <w:spacing w:after="0" w:line="228" w:lineRule="auto"/>
      <w:ind w:left="720" w:right="475" w:firstLine="432"/>
      <w:jc w:val="both"/>
    </w:pPr>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style>
  <w:style w:type="paragraph" w:styleId="ListParagraph">
    <w:name w:val="List Paragraph"/>
    <w:link w:val="ListParagraphChar"/>
    <w:uiPriority w:val="34"/>
    <w:qFormat/>
    <w:rsid w:val="00AD30DC"/>
    <w:pPr>
      <w:pBdr>
        <w:top w:val="nil"/>
        <w:left w:val="nil"/>
        <w:bottom w:val="nil"/>
        <w:right w:val="nil"/>
        <w:between w:val="nil"/>
        <w:bar w:val="nil"/>
      </w:pBdr>
      <w:spacing w:after="0" w:line="228" w:lineRule="auto"/>
      <w:ind w:left="720" w:right="475" w:firstLine="432"/>
      <w:jc w:val="both"/>
    </w:pPr>
    <w:rPr>
      <w:rFonts w:ascii="Palatino Linotype" w:eastAsia="Palatino Linotype" w:hAnsi="Palatino Linotype" w:cs="Palatino Linotype"/>
      <w:color w:val="000000"/>
      <w:sz w:val="20"/>
      <w:szCs w:val="20"/>
      <w:u w:color="000000"/>
      <w:bdr w:val="nil"/>
    </w:rPr>
  </w:style>
  <w:style w:type="numbering" w:customStyle="1" w:styleId="ImportedStyle1">
    <w:name w:val="Imported Style 1"/>
    <w:rsid w:val="00AD30DC"/>
    <w:pPr>
      <w:numPr>
        <w:numId w:val="20"/>
      </w:numPr>
    </w:pPr>
  </w:style>
  <w:style w:type="character" w:customStyle="1" w:styleId="ListParagraphChar">
    <w:name w:val="List Paragraph Char"/>
    <w:basedOn w:val="DefaultParagraphFont"/>
    <w:link w:val="ListParagraph"/>
    <w:rsid w:val="00AD30DC"/>
    <w:rPr>
      <w:rFonts w:ascii="Palatino Linotype" w:eastAsia="Palatino Linotype" w:hAnsi="Palatino Linotype" w:cs="Palatino Linotype"/>
      <w:color w:val="000000"/>
      <w:sz w:val="20"/>
      <w:szCs w:val="20"/>
      <w:u w:color="000000"/>
      <w:bdr w:val="nil"/>
    </w:rPr>
  </w:style>
  <w:style w:type="paragraph" w:customStyle="1" w:styleId="EndNoteBibliography">
    <w:name w:val="EndNote Bibliography"/>
    <w:basedOn w:val="Normal"/>
    <w:link w:val="EndNoteBibliographyChar"/>
    <w:rsid w:val="00AD30DC"/>
    <w:pPr>
      <w:pBdr>
        <w:top w:val="nil"/>
        <w:left w:val="nil"/>
        <w:bottom w:val="nil"/>
        <w:right w:val="nil"/>
        <w:between w:val="nil"/>
        <w:bar w:val="nil"/>
      </w:pBdr>
      <w:jc w:val="both"/>
    </w:pPr>
    <w:rPr>
      <w:rFonts w:ascii="Palatino Linotype" w:eastAsia="Arial Unicode MS" w:hAnsi="Palatino Linotype" w:cs="Palatino Linotype"/>
      <w:noProof/>
      <w:color w:val="000000"/>
      <w:sz w:val="20"/>
      <w:u w:color="000000"/>
      <w:bdr w:val="nil"/>
    </w:rPr>
  </w:style>
  <w:style w:type="character" w:customStyle="1" w:styleId="EndNoteBibliographyChar">
    <w:name w:val="EndNote Bibliography Char"/>
    <w:basedOn w:val="ListParagraphChar"/>
    <w:link w:val="EndNoteBibliography"/>
    <w:rsid w:val="00AD30DC"/>
    <w:rPr>
      <w:rFonts w:ascii="Palatino Linotype" w:eastAsia="Arial Unicode MS" w:hAnsi="Palatino Linotype" w:cs="Palatino Linotype"/>
      <w:noProof/>
      <w:color w:val="000000"/>
      <w:sz w:val="20"/>
      <w:szCs w:val="24"/>
      <w:u w:color="000000"/>
      <w:bdr w:val="nil"/>
    </w:rPr>
  </w:style>
  <w:style w:type="paragraph" w:customStyle="1" w:styleId="EndNoteBibliographyTitle">
    <w:name w:val="EndNote Bibliography Title"/>
    <w:basedOn w:val="Normal"/>
    <w:link w:val="EndNoteBibliographyTitleChar"/>
    <w:rsid w:val="00AD30DC"/>
    <w:pPr>
      <w:spacing w:line="228" w:lineRule="auto"/>
      <w:ind w:left="720" w:right="475" w:firstLine="432"/>
      <w:jc w:val="center"/>
    </w:pPr>
    <w:rPr>
      <w:rFonts w:ascii="Palatino Linotype" w:eastAsia="SimSun" w:hAnsi="Palatino Linotype"/>
      <w:noProof/>
      <w:color w:val="000000"/>
      <w:sz w:val="20"/>
      <w:szCs w:val="20"/>
      <w:u w:color="000000"/>
      <w:bdr w:val="nil"/>
      <w:lang w:eastAsia="zh-CN"/>
      <w14:textOutline w14:w="0" w14:cap="flat" w14:cmpd="sng" w14:algn="ctr">
        <w14:noFill/>
        <w14:prstDash w14:val="solid"/>
        <w14:bevel/>
      </w14:textOutline>
    </w:rPr>
  </w:style>
  <w:style w:type="character" w:customStyle="1" w:styleId="BodyChar">
    <w:name w:val="Body Char"/>
    <w:basedOn w:val="DefaultParagraphFont"/>
    <w:link w:val="Body"/>
    <w:rsid w:val="00AD30DC"/>
    <w:rPr>
      <w:rFonts w:ascii="Palatino Linotype" w:eastAsia="Palatino Linotype" w:hAnsi="Palatino Linotype" w:cs="Palatino Linotype"/>
      <w:color w:val="000000"/>
      <w:sz w:val="20"/>
      <w:szCs w:val="20"/>
      <w:u w:color="000000"/>
      <w:bdr w:val="nil"/>
      <w14:textOutline w14:w="0" w14:cap="flat" w14:cmpd="sng" w14:algn="ctr">
        <w14:noFill/>
        <w14:prstDash w14:val="solid"/>
        <w14:bevel/>
      </w14:textOutline>
    </w:rPr>
  </w:style>
  <w:style w:type="character" w:customStyle="1" w:styleId="EndNoteBibliographyTitleChar">
    <w:name w:val="EndNote Bibliography Title Char"/>
    <w:basedOn w:val="BodyChar"/>
    <w:link w:val="EndNoteBibliographyTitle"/>
    <w:rsid w:val="00AD30DC"/>
    <w:rPr>
      <w:rFonts w:ascii="Palatino Linotype" w:eastAsia="SimSun" w:hAnsi="Palatino Linotype" w:cs="Times New Roman"/>
      <w:noProof/>
      <w:color w:val="000000"/>
      <w:sz w:val="20"/>
      <w:szCs w:val="20"/>
      <w:u w:color="000000"/>
      <w:bdr w:val="nil"/>
      <w:lang w:eastAsia="zh-CN"/>
      <w14:textOutline w14:w="0" w14:cap="flat" w14:cmpd="sng" w14:algn="ctr">
        <w14:noFill/>
        <w14:prstDash w14:val="solid"/>
        <w14:bevel/>
      </w14:textOutline>
    </w:rPr>
  </w:style>
  <w:style w:type="paragraph" w:styleId="Revision">
    <w:name w:val="Revision"/>
    <w:hidden/>
    <w:uiPriority w:val="99"/>
    <w:semiHidden/>
    <w:rsid w:val="00AD30DC"/>
    <w:pPr>
      <w:spacing w:after="0" w:line="240" w:lineRule="auto"/>
    </w:pPr>
    <w:rPr>
      <w:rFonts w:ascii="Palatino Linotype" w:eastAsia="SimSun" w:hAnsi="Palatino Linotype" w:cs="Times New Roman"/>
      <w:noProof/>
      <w:color w:val="000000"/>
      <w:sz w:val="20"/>
      <w:szCs w:val="20"/>
      <w:lang w:eastAsia="zh-CN"/>
    </w:rPr>
  </w:style>
  <w:style w:type="paragraph" w:styleId="NoSpacing">
    <w:name w:val="No Spacing"/>
    <w:uiPriority w:val="1"/>
    <w:qFormat/>
    <w:rsid w:val="00CC3469"/>
    <w:pPr>
      <w:spacing w:after="0" w:line="240" w:lineRule="auto"/>
    </w:pPr>
    <w:rPr>
      <w:rFonts w:ascii="Cambria" w:eastAsia="MS ??" w:hAnsi="Cambria" w:cs="Times New Roman"/>
      <w:sz w:val="24"/>
      <w:szCs w:val="24"/>
    </w:rPr>
  </w:style>
  <w:style w:type="table" w:customStyle="1" w:styleId="1">
    <w:name w:val="شبكة جدول1"/>
    <w:basedOn w:val="TableNormal"/>
    <w:next w:val="TableGrid"/>
    <w:uiPriority w:val="59"/>
    <w:rsid w:val="00761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F6707"/>
    <w:rPr>
      <w:color w:val="605E5C"/>
      <w:shd w:val="clear" w:color="auto" w:fill="E1DFDD"/>
    </w:rPr>
  </w:style>
  <w:style w:type="character" w:customStyle="1" w:styleId="Heading1Char">
    <w:name w:val="Heading 1 Char"/>
    <w:basedOn w:val="DefaultParagraphFont"/>
    <w:link w:val="Heading1"/>
    <w:uiPriority w:val="9"/>
    <w:rsid w:val="00577052"/>
    <w:rPr>
      <w:rFonts w:asciiTheme="majorHAnsi" w:eastAsiaTheme="majorEastAsia" w:hAnsiTheme="majorHAnsi" w:cstheme="majorBidi"/>
      <w:noProof/>
      <w:color w:val="2E74B5" w:themeColor="accent1" w:themeShade="BF"/>
      <w:sz w:val="32"/>
      <w:szCs w:val="32"/>
      <w:lang w:eastAsia="zh-CN"/>
    </w:rPr>
  </w:style>
  <w:style w:type="table" w:customStyle="1" w:styleId="TableGrid1">
    <w:name w:val="Table Grid1"/>
    <w:basedOn w:val="TableNormal"/>
    <w:next w:val="TableGrid"/>
    <w:uiPriority w:val="39"/>
    <w:rsid w:val="00B0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1484A"/>
    <w:pPr>
      <w:widowControl w:val="0"/>
      <w:autoSpaceDE w:val="0"/>
      <w:autoSpaceDN w:val="0"/>
      <w:jc w:val="center"/>
    </w:pPr>
    <w:rPr>
      <w:sz w:val="22"/>
      <w:szCs w:val="22"/>
    </w:rPr>
  </w:style>
  <w:style w:type="paragraph" w:styleId="HTMLPreformatted">
    <w:name w:val="HTML Preformatted"/>
    <w:basedOn w:val="Normal"/>
    <w:link w:val="HTMLPreformattedChar"/>
    <w:uiPriority w:val="99"/>
    <w:semiHidden/>
    <w:unhideWhenUsed/>
    <w:rsid w:val="005E2C3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E2C3B"/>
    <w:rPr>
      <w:rFonts w:ascii="Consolas" w:eastAsia="Times New Roman" w:hAnsi="Consolas" w:cs="Times New Roman"/>
      <w:sz w:val="20"/>
      <w:szCs w:val="20"/>
    </w:rPr>
  </w:style>
  <w:style w:type="character" w:customStyle="1" w:styleId="Heading3Char">
    <w:name w:val="Heading 3 Char"/>
    <w:basedOn w:val="DefaultParagraphFont"/>
    <w:link w:val="Heading3"/>
    <w:uiPriority w:val="9"/>
    <w:semiHidden/>
    <w:rsid w:val="00EB757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674">
      <w:bodyDiv w:val="1"/>
      <w:marLeft w:val="0"/>
      <w:marRight w:val="0"/>
      <w:marTop w:val="0"/>
      <w:marBottom w:val="0"/>
      <w:divBdr>
        <w:top w:val="none" w:sz="0" w:space="0" w:color="auto"/>
        <w:left w:val="none" w:sz="0" w:space="0" w:color="auto"/>
        <w:bottom w:val="none" w:sz="0" w:space="0" w:color="auto"/>
        <w:right w:val="none" w:sz="0" w:space="0" w:color="auto"/>
      </w:divBdr>
    </w:div>
    <w:div w:id="52969996">
      <w:bodyDiv w:val="1"/>
      <w:marLeft w:val="0"/>
      <w:marRight w:val="0"/>
      <w:marTop w:val="0"/>
      <w:marBottom w:val="0"/>
      <w:divBdr>
        <w:top w:val="none" w:sz="0" w:space="0" w:color="auto"/>
        <w:left w:val="none" w:sz="0" w:space="0" w:color="auto"/>
        <w:bottom w:val="none" w:sz="0" w:space="0" w:color="auto"/>
        <w:right w:val="none" w:sz="0" w:space="0" w:color="auto"/>
      </w:divBdr>
    </w:div>
    <w:div w:id="162552821">
      <w:bodyDiv w:val="1"/>
      <w:marLeft w:val="0"/>
      <w:marRight w:val="0"/>
      <w:marTop w:val="0"/>
      <w:marBottom w:val="0"/>
      <w:divBdr>
        <w:top w:val="none" w:sz="0" w:space="0" w:color="auto"/>
        <w:left w:val="none" w:sz="0" w:space="0" w:color="auto"/>
        <w:bottom w:val="none" w:sz="0" w:space="0" w:color="auto"/>
        <w:right w:val="none" w:sz="0" w:space="0" w:color="auto"/>
      </w:divBdr>
    </w:div>
    <w:div w:id="233861300">
      <w:bodyDiv w:val="1"/>
      <w:marLeft w:val="0"/>
      <w:marRight w:val="0"/>
      <w:marTop w:val="0"/>
      <w:marBottom w:val="0"/>
      <w:divBdr>
        <w:top w:val="none" w:sz="0" w:space="0" w:color="auto"/>
        <w:left w:val="none" w:sz="0" w:space="0" w:color="auto"/>
        <w:bottom w:val="none" w:sz="0" w:space="0" w:color="auto"/>
        <w:right w:val="none" w:sz="0" w:space="0" w:color="auto"/>
      </w:divBdr>
    </w:div>
    <w:div w:id="235826058">
      <w:bodyDiv w:val="1"/>
      <w:marLeft w:val="0"/>
      <w:marRight w:val="0"/>
      <w:marTop w:val="0"/>
      <w:marBottom w:val="0"/>
      <w:divBdr>
        <w:top w:val="none" w:sz="0" w:space="0" w:color="auto"/>
        <w:left w:val="none" w:sz="0" w:space="0" w:color="auto"/>
        <w:bottom w:val="none" w:sz="0" w:space="0" w:color="auto"/>
        <w:right w:val="none" w:sz="0" w:space="0" w:color="auto"/>
      </w:divBdr>
    </w:div>
    <w:div w:id="248663041">
      <w:bodyDiv w:val="1"/>
      <w:marLeft w:val="0"/>
      <w:marRight w:val="0"/>
      <w:marTop w:val="0"/>
      <w:marBottom w:val="0"/>
      <w:divBdr>
        <w:top w:val="none" w:sz="0" w:space="0" w:color="auto"/>
        <w:left w:val="none" w:sz="0" w:space="0" w:color="auto"/>
        <w:bottom w:val="none" w:sz="0" w:space="0" w:color="auto"/>
        <w:right w:val="none" w:sz="0" w:space="0" w:color="auto"/>
      </w:divBdr>
    </w:div>
    <w:div w:id="318969800">
      <w:bodyDiv w:val="1"/>
      <w:marLeft w:val="0"/>
      <w:marRight w:val="0"/>
      <w:marTop w:val="0"/>
      <w:marBottom w:val="0"/>
      <w:divBdr>
        <w:top w:val="none" w:sz="0" w:space="0" w:color="auto"/>
        <w:left w:val="none" w:sz="0" w:space="0" w:color="auto"/>
        <w:bottom w:val="none" w:sz="0" w:space="0" w:color="auto"/>
        <w:right w:val="none" w:sz="0" w:space="0" w:color="auto"/>
      </w:divBdr>
    </w:div>
    <w:div w:id="334262531">
      <w:bodyDiv w:val="1"/>
      <w:marLeft w:val="0"/>
      <w:marRight w:val="0"/>
      <w:marTop w:val="0"/>
      <w:marBottom w:val="0"/>
      <w:divBdr>
        <w:top w:val="none" w:sz="0" w:space="0" w:color="auto"/>
        <w:left w:val="none" w:sz="0" w:space="0" w:color="auto"/>
        <w:bottom w:val="none" w:sz="0" w:space="0" w:color="auto"/>
        <w:right w:val="none" w:sz="0" w:space="0" w:color="auto"/>
      </w:divBdr>
    </w:div>
    <w:div w:id="415369941">
      <w:bodyDiv w:val="1"/>
      <w:marLeft w:val="0"/>
      <w:marRight w:val="0"/>
      <w:marTop w:val="0"/>
      <w:marBottom w:val="0"/>
      <w:divBdr>
        <w:top w:val="none" w:sz="0" w:space="0" w:color="auto"/>
        <w:left w:val="none" w:sz="0" w:space="0" w:color="auto"/>
        <w:bottom w:val="none" w:sz="0" w:space="0" w:color="auto"/>
        <w:right w:val="none" w:sz="0" w:space="0" w:color="auto"/>
      </w:divBdr>
    </w:div>
    <w:div w:id="448354781">
      <w:bodyDiv w:val="1"/>
      <w:marLeft w:val="0"/>
      <w:marRight w:val="0"/>
      <w:marTop w:val="0"/>
      <w:marBottom w:val="0"/>
      <w:divBdr>
        <w:top w:val="none" w:sz="0" w:space="0" w:color="auto"/>
        <w:left w:val="none" w:sz="0" w:space="0" w:color="auto"/>
        <w:bottom w:val="none" w:sz="0" w:space="0" w:color="auto"/>
        <w:right w:val="none" w:sz="0" w:space="0" w:color="auto"/>
      </w:divBdr>
    </w:div>
    <w:div w:id="500122833">
      <w:bodyDiv w:val="1"/>
      <w:marLeft w:val="0"/>
      <w:marRight w:val="0"/>
      <w:marTop w:val="0"/>
      <w:marBottom w:val="0"/>
      <w:divBdr>
        <w:top w:val="none" w:sz="0" w:space="0" w:color="auto"/>
        <w:left w:val="none" w:sz="0" w:space="0" w:color="auto"/>
        <w:bottom w:val="none" w:sz="0" w:space="0" w:color="auto"/>
        <w:right w:val="none" w:sz="0" w:space="0" w:color="auto"/>
      </w:divBdr>
    </w:div>
    <w:div w:id="692539195">
      <w:bodyDiv w:val="1"/>
      <w:marLeft w:val="0"/>
      <w:marRight w:val="0"/>
      <w:marTop w:val="0"/>
      <w:marBottom w:val="0"/>
      <w:divBdr>
        <w:top w:val="none" w:sz="0" w:space="0" w:color="auto"/>
        <w:left w:val="none" w:sz="0" w:space="0" w:color="auto"/>
        <w:bottom w:val="none" w:sz="0" w:space="0" w:color="auto"/>
        <w:right w:val="none" w:sz="0" w:space="0" w:color="auto"/>
      </w:divBdr>
    </w:div>
    <w:div w:id="774641452">
      <w:bodyDiv w:val="1"/>
      <w:marLeft w:val="0"/>
      <w:marRight w:val="0"/>
      <w:marTop w:val="0"/>
      <w:marBottom w:val="0"/>
      <w:divBdr>
        <w:top w:val="none" w:sz="0" w:space="0" w:color="auto"/>
        <w:left w:val="none" w:sz="0" w:space="0" w:color="auto"/>
        <w:bottom w:val="none" w:sz="0" w:space="0" w:color="auto"/>
        <w:right w:val="none" w:sz="0" w:space="0" w:color="auto"/>
      </w:divBdr>
    </w:div>
    <w:div w:id="802650126">
      <w:bodyDiv w:val="1"/>
      <w:marLeft w:val="0"/>
      <w:marRight w:val="0"/>
      <w:marTop w:val="0"/>
      <w:marBottom w:val="0"/>
      <w:divBdr>
        <w:top w:val="none" w:sz="0" w:space="0" w:color="auto"/>
        <w:left w:val="none" w:sz="0" w:space="0" w:color="auto"/>
        <w:bottom w:val="none" w:sz="0" w:space="0" w:color="auto"/>
        <w:right w:val="none" w:sz="0" w:space="0" w:color="auto"/>
      </w:divBdr>
    </w:div>
    <w:div w:id="823200367">
      <w:bodyDiv w:val="1"/>
      <w:marLeft w:val="0"/>
      <w:marRight w:val="0"/>
      <w:marTop w:val="0"/>
      <w:marBottom w:val="0"/>
      <w:divBdr>
        <w:top w:val="none" w:sz="0" w:space="0" w:color="auto"/>
        <w:left w:val="none" w:sz="0" w:space="0" w:color="auto"/>
        <w:bottom w:val="none" w:sz="0" w:space="0" w:color="auto"/>
        <w:right w:val="none" w:sz="0" w:space="0" w:color="auto"/>
      </w:divBdr>
    </w:div>
    <w:div w:id="829251421">
      <w:bodyDiv w:val="1"/>
      <w:marLeft w:val="0"/>
      <w:marRight w:val="0"/>
      <w:marTop w:val="0"/>
      <w:marBottom w:val="0"/>
      <w:divBdr>
        <w:top w:val="none" w:sz="0" w:space="0" w:color="auto"/>
        <w:left w:val="none" w:sz="0" w:space="0" w:color="auto"/>
        <w:bottom w:val="none" w:sz="0" w:space="0" w:color="auto"/>
        <w:right w:val="none" w:sz="0" w:space="0" w:color="auto"/>
      </w:divBdr>
    </w:div>
    <w:div w:id="884605807">
      <w:bodyDiv w:val="1"/>
      <w:marLeft w:val="0"/>
      <w:marRight w:val="0"/>
      <w:marTop w:val="0"/>
      <w:marBottom w:val="0"/>
      <w:divBdr>
        <w:top w:val="none" w:sz="0" w:space="0" w:color="auto"/>
        <w:left w:val="none" w:sz="0" w:space="0" w:color="auto"/>
        <w:bottom w:val="none" w:sz="0" w:space="0" w:color="auto"/>
        <w:right w:val="none" w:sz="0" w:space="0" w:color="auto"/>
      </w:divBdr>
    </w:div>
    <w:div w:id="895969023">
      <w:bodyDiv w:val="1"/>
      <w:marLeft w:val="0"/>
      <w:marRight w:val="0"/>
      <w:marTop w:val="0"/>
      <w:marBottom w:val="0"/>
      <w:divBdr>
        <w:top w:val="none" w:sz="0" w:space="0" w:color="auto"/>
        <w:left w:val="none" w:sz="0" w:space="0" w:color="auto"/>
        <w:bottom w:val="none" w:sz="0" w:space="0" w:color="auto"/>
        <w:right w:val="none" w:sz="0" w:space="0" w:color="auto"/>
      </w:divBdr>
    </w:div>
    <w:div w:id="1132358681">
      <w:bodyDiv w:val="1"/>
      <w:marLeft w:val="0"/>
      <w:marRight w:val="0"/>
      <w:marTop w:val="0"/>
      <w:marBottom w:val="0"/>
      <w:divBdr>
        <w:top w:val="none" w:sz="0" w:space="0" w:color="auto"/>
        <w:left w:val="none" w:sz="0" w:space="0" w:color="auto"/>
        <w:bottom w:val="none" w:sz="0" w:space="0" w:color="auto"/>
        <w:right w:val="none" w:sz="0" w:space="0" w:color="auto"/>
      </w:divBdr>
    </w:div>
    <w:div w:id="1183133230">
      <w:bodyDiv w:val="1"/>
      <w:marLeft w:val="0"/>
      <w:marRight w:val="0"/>
      <w:marTop w:val="0"/>
      <w:marBottom w:val="0"/>
      <w:divBdr>
        <w:top w:val="none" w:sz="0" w:space="0" w:color="auto"/>
        <w:left w:val="none" w:sz="0" w:space="0" w:color="auto"/>
        <w:bottom w:val="none" w:sz="0" w:space="0" w:color="auto"/>
        <w:right w:val="none" w:sz="0" w:space="0" w:color="auto"/>
      </w:divBdr>
      <w:divsChild>
        <w:div w:id="1404330973">
          <w:marLeft w:val="0"/>
          <w:marRight w:val="0"/>
          <w:marTop w:val="0"/>
          <w:marBottom w:val="0"/>
          <w:divBdr>
            <w:top w:val="none" w:sz="0" w:space="0" w:color="auto"/>
            <w:left w:val="none" w:sz="0" w:space="0" w:color="auto"/>
            <w:bottom w:val="none" w:sz="0" w:space="0" w:color="auto"/>
            <w:right w:val="none" w:sz="0" w:space="0" w:color="auto"/>
          </w:divBdr>
          <w:divsChild>
            <w:div w:id="1928421048">
              <w:marLeft w:val="0"/>
              <w:marRight w:val="0"/>
              <w:marTop w:val="0"/>
              <w:marBottom w:val="0"/>
              <w:divBdr>
                <w:top w:val="none" w:sz="0" w:space="0" w:color="auto"/>
                <w:left w:val="none" w:sz="0" w:space="0" w:color="auto"/>
                <w:bottom w:val="none" w:sz="0" w:space="0" w:color="auto"/>
                <w:right w:val="none" w:sz="0" w:space="0" w:color="auto"/>
              </w:divBdr>
              <w:divsChild>
                <w:div w:id="1164397967">
                  <w:marLeft w:val="0"/>
                  <w:marRight w:val="0"/>
                  <w:marTop w:val="0"/>
                  <w:marBottom w:val="0"/>
                  <w:divBdr>
                    <w:top w:val="none" w:sz="0" w:space="0" w:color="auto"/>
                    <w:left w:val="none" w:sz="0" w:space="0" w:color="auto"/>
                    <w:bottom w:val="none" w:sz="0" w:space="0" w:color="auto"/>
                    <w:right w:val="none" w:sz="0" w:space="0" w:color="auto"/>
                  </w:divBdr>
                  <w:divsChild>
                    <w:div w:id="556860154">
                      <w:marLeft w:val="0"/>
                      <w:marRight w:val="0"/>
                      <w:marTop w:val="0"/>
                      <w:marBottom w:val="0"/>
                      <w:divBdr>
                        <w:top w:val="none" w:sz="0" w:space="0" w:color="auto"/>
                        <w:left w:val="none" w:sz="0" w:space="0" w:color="auto"/>
                        <w:bottom w:val="none" w:sz="0" w:space="0" w:color="auto"/>
                        <w:right w:val="none" w:sz="0" w:space="0" w:color="auto"/>
                      </w:divBdr>
                      <w:divsChild>
                        <w:div w:id="2120441386">
                          <w:marLeft w:val="0"/>
                          <w:marRight w:val="0"/>
                          <w:marTop w:val="0"/>
                          <w:marBottom w:val="0"/>
                          <w:divBdr>
                            <w:top w:val="none" w:sz="0" w:space="0" w:color="auto"/>
                            <w:left w:val="none" w:sz="0" w:space="0" w:color="auto"/>
                            <w:bottom w:val="none" w:sz="0" w:space="0" w:color="auto"/>
                            <w:right w:val="none" w:sz="0" w:space="0" w:color="auto"/>
                          </w:divBdr>
                          <w:divsChild>
                            <w:div w:id="958485573">
                              <w:marLeft w:val="0"/>
                              <w:marRight w:val="0"/>
                              <w:marTop w:val="0"/>
                              <w:marBottom w:val="0"/>
                              <w:divBdr>
                                <w:top w:val="none" w:sz="0" w:space="0" w:color="auto"/>
                                <w:left w:val="none" w:sz="0" w:space="0" w:color="auto"/>
                                <w:bottom w:val="none" w:sz="0" w:space="0" w:color="auto"/>
                                <w:right w:val="none" w:sz="0" w:space="0" w:color="auto"/>
                              </w:divBdr>
                              <w:divsChild>
                                <w:div w:id="372773891">
                                  <w:marLeft w:val="0"/>
                                  <w:marRight w:val="0"/>
                                  <w:marTop w:val="0"/>
                                  <w:marBottom w:val="0"/>
                                  <w:divBdr>
                                    <w:top w:val="none" w:sz="0" w:space="0" w:color="auto"/>
                                    <w:left w:val="none" w:sz="0" w:space="0" w:color="auto"/>
                                    <w:bottom w:val="none" w:sz="0" w:space="0" w:color="auto"/>
                                    <w:right w:val="none" w:sz="0" w:space="0" w:color="auto"/>
                                  </w:divBdr>
                                  <w:divsChild>
                                    <w:div w:id="90872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510391">
      <w:bodyDiv w:val="1"/>
      <w:marLeft w:val="0"/>
      <w:marRight w:val="0"/>
      <w:marTop w:val="0"/>
      <w:marBottom w:val="0"/>
      <w:divBdr>
        <w:top w:val="none" w:sz="0" w:space="0" w:color="auto"/>
        <w:left w:val="none" w:sz="0" w:space="0" w:color="auto"/>
        <w:bottom w:val="none" w:sz="0" w:space="0" w:color="auto"/>
        <w:right w:val="none" w:sz="0" w:space="0" w:color="auto"/>
      </w:divBdr>
    </w:div>
    <w:div w:id="1239973394">
      <w:bodyDiv w:val="1"/>
      <w:marLeft w:val="0"/>
      <w:marRight w:val="0"/>
      <w:marTop w:val="0"/>
      <w:marBottom w:val="0"/>
      <w:divBdr>
        <w:top w:val="none" w:sz="0" w:space="0" w:color="auto"/>
        <w:left w:val="none" w:sz="0" w:space="0" w:color="auto"/>
        <w:bottom w:val="none" w:sz="0" w:space="0" w:color="auto"/>
        <w:right w:val="none" w:sz="0" w:space="0" w:color="auto"/>
      </w:divBdr>
    </w:div>
    <w:div w:id="1254827179">
      <w:bodyDiv w:val="1"/>
      <w:marLeft w:val="0"/>
      <w:marRight w:val="0"/>
      <w:marTop w:val="0"/>
      <w:marBottom w:val="0"/>
      <w:divBdr>
        <w:top w:val="none" w:sz="0" w:space="0" w:color="auto"/>
        <w:left w:val="none" w:sz="0" w:space="0" w:color="auto"/>
        <w:bottom w:val="none" w:sz="0" w:space="0" w:color="auto"/>
        <w:right w:val="none" w:sz="0" w:space="0" w:color="auto"/>
      </w:divBdr>
    </w:div>
    <w:div w:id="1290821696">
      <w:bodyDiv w:val="1"/>
      <w:marLeft w:val="0"/>
      <w:marRight w:val="0"/>
      <w:marTop w:val="0"/>
      <w:marBottom w:val="0"/>
      <w:divBdr>
        <w:top w:val="none" w:sz="0" w:space="0" w:color="auto"/>
        <w:left w:val="none" w:sz="0" w:space="0" w:color="auto"/>
        <w:bottom w:val="none" w:sz="0" w:space="0" w:color="auto"/>
        <w:right w:val="none" w:sz="0" w:space="0" w:color="auto"/>
      </w:divBdr>
    </w:div>
    <w:div w:id="1348485482">
      <w:bodyDiv w:val="1"/>
      <w:marLeft w:val="0"/>
      <w:marRight w:val="0"/>
      <w:marTop w:val="0"/>
      <w:marBottom w:val="0"/>
      <w:divBdr>
        <w:top w:val="none" w:sz="0" w:space="0" w:color="auto"/>
        <w:left w:val="none" w:sz="0" w:space="0" w:color="auto"/>
        <w:bottom w:val="none" w:sz="0" w:space="0" w:color="auto"/>
        <w:right w:val="none" w:sz="0" w:space="0" w:color="auto"/>
      </w:divBdr>
    </w:div>
    <w:div w:id="1371804830">
      <w:bodyDiv w:val="1"/>
      <w:marLeft w:val="0"/>
      <w:marRight w:val="0"/>
      <w:marTop w:val="0"/>
      <w:marBottom w:val="0"/>
      <w:divBdr>
        <w:top w:val="none" w:sz="0" w:space="0" w:color="auto"/>
        <w:left w:val="none" w:sz="0" w:space="0" w:color="auto"/>
        <w:bottom w:val="none" w:sz="0" w:space="0" w:color="auto"/>
        <w:right w:val="none" w:sz="0" w:space="0" w:color="auto"/>
      </w:divBdr>
    </w:div>
    <w:div w:id="1476681696">
      <w:bodyDiv w:val="1"/>
      <w:marLeft w:val="0"/>
      <w:marRight w:val="0"/>
      <w:marTop w:val="0"/>
      <w:marBottom w:val="0"/>
      <w:divBdr>
        <w:top w:val="none" w:sz="0" w:space="0" w:color="auto"/>
        <w:left w:val="none" w:sz="0" w:space="0" w:color="auto"/>
        <w:bottom w:val="none" w:sz="0" w:space="0" w:color="auto"/>
        <w:right w:val="none" w:sz="0" w:space="0" w:color="auto"/>
      </w:divBdr>
    </w:div>
    <w:div w:id="1498351130">
      <w:bodyDiv w:val="1"/>
      <w:marLeft w:val="0"/>
      <w:marRight w:val="0"/>
      <w:marTop w:val="0"/>
      <w:marBottom w:val="0"/>
      <w:divBdr>
        <w:top w:val="none" w:sz="0" w:space="0" w:color="auto"/>
        <w:left w:val="none" w:sz="0" w:space="0" w:color="auto"/>
        <w:bottom w:val="none" w:sz="0" w:space="0" w:color="auto"/>
        <w:right w:val="none" w:sz="0" w:space="0" w:color="auto"/>
      </w:divBdr>
    </w:div>
    <w:div w:id="1515026717">
      <w:bodyDiv w:val="1"/>
      <w:marLeft w:val="0"/>
      <w:marRight w:val="0"/>
      <w:marTop w:val="0"/>
      <w:marBottom w:val="0"/>
      <w:divBdr>
        <w:top w:val="none" w:sz="0" w:space="0" w:color="auto"/>
        <w:left w:val="none" w:sz="0" w:space="0" w:color="auto"/>
        <w:bottom w:val="none" w:sz="0" w:space="0" w:color="auto"/>
        <w:right w:val="none" w:sz="0" w:space="0" w:color="auto"/>
      </w:divBdr>
    </w:div>
    <w:div w:id="1612936414">
      <w:bodyDiv w:val="1"/>
      <w:marLeft w:val="0"/>
      <w:marRight w:val="0"/>
      <w:marTop w:val="0"/>
      <w:marBottom w:val="0"/>
      <w:divBdr>
        <w:top w:val="none" w:sz="0" w:space="0" w:color="auto"/>
        <w:left w:val="none" w:sz="0" w:space="0" w:color="auto"/>
        <w:bottom w:val="none" w:sz="0" w:space="0" w:color="auto"/>
        <w:right w:val="none" w:sz="0" w:space="0" w:color="auto"/>
      </w:divBdr>
    </w:div>
    <w:div w:id="1628589008">
      <w:bodyDiv w:val="1"/>
      <w:marLeft w:val="0"/>
      <w:marRight w:val="0"/>
      <w:marTop w:val="0"/>
      <w:marBottom w:val="0"/>
      <w:divBdr>
        <w:top w:val="none" w:sz="0" w:space="0" w:color="auto"/>
        <w:left w:val="none" w:sz="0" w:space="0" w:color="auto"/>
        <w:bottom w:val="none" w:sz="0" w:space="0" w:color="auto"/>
        <w:right w:val="none" w:sz="0" w:space="0" w:color="auto"/>
      </w:divBdr>
    </w:div>
    <w:div w:id="1701737734">
      <w:bodyDiv w:val="1"/>
      <w:marLeft w:val="0"/>
      <w:marRight w:val="0"/>
      <w:marTop w:val="0"/>
      <w:marBottom w:val="0"/>
      <w:divBdr>
        <w:top w:val="none" w:sz="0" w:space="0" w:color="auto"/>
        <w:left w:val="none" w:sz="0" w:space="0" w:color="auto"/>
        <w:bottom w:val="none" w:sz="0" w:space="0" w:color="auto"/>
        <w:right w:val="none" w:sz="0" w:space="0" w:color="auto"/>
      </w:divBdr>
    </w:div>
    <w:div w:id="1708987497">
      <w:bodyDiv w:val="1"/>
      <w:marLeft w:val="0"/>
      <w:marRight w:val="0"/>
      <w:marTop w:val="0"/>
      <w:marBottom w:val="0"/>
      <w:divBdr>
        <w:top w:val="none" w:sz="0" w:space="0" w:color="auto"/>
        <w:left w:val="none" w:sz="0" w:space="0" w:color="auto"/>
        <w:bottom w:val="none" w:sz="0" w:space="0" w:color="auto"/>
        <w:right w:val="none" w:sz="0" w:space="0" w:color="auto"/>
      </w:divBdr>
    </w:div>
    <w:div w:id="1751806557">
      <w:bodyDiv w:val="1"/>
      <w:marLeft w:val="0"/>
      <w:marRight w:val="0"/>
      <w:marTop w:val="0"/>
      <w:marBottom w:val="0"/>
      <w:divBdr>
        <w:top w:val="none" w:sz="0" w:space="0" w:color="auto"/>
        <w:left w:val="none" w:sz="0" w:space="0" w:color="auto"/>
        <w:bottom w:val="none" w:sz="0" w:space="0" w:color="auto"/>
        <w:right w:val="none" w:sz="0" w:space="0" w:color="auto"/>
      </w:divBdr>
    </w:div>
    <w:div w:id="1941790917">
      <w:bodyDiv w:val="1"/>
      <w:marLeft w:val="0"/>
      <w:marRight w:val="0"/>
      <w:marTop w:val="0"/>
      <w:marBottom w:val="0"/>
      <w:divBdr>
        <w:top w:val="none" w:sz="0" w:space="0" w:color="auto"/>
        <w:left w:val="none" w:sz="0" w:space="0" w:color="auto"/>
        <w:bottom w:val="none" w:sz="0" w:space="0" w:color="auto"/>
        <w:right w:val="none" w:sz="0" w:space="0" w:color="auto"/>
      </w:divBdr>
    </w:div>
    <w:div w:id="1942227037">
      <w:bodyDiv w:val="1"/>
      <w:marLeft w:val="0"/>
      <w:marRight w:val="0"/>
      <w:marTop w:val="0"/>
      <w:marBottom w:val="0"/>
      <w:divBdr>
        <w:top w:val="none" w:sz="0" w:space="0" w:color="auto"/>
        <w:left w:val="none" w:sz="0" w:space="0" w:color="auto"/>
        <w:bottom w:val="none" w:sz="0" w:space="0" w:color="auto"/>
        <w:right w:val="none" w:sz="0" w:space="0" w:color="auto"/>
      </w:divBdr>
      <w:divsChild>
        <w:div w:id="2011713519">
          <w:marLeft w:val="0"/>
          <w:marRight w:val="0"/>
          <w:marTop w:val="0"/>
          <w:marBottom w:val="0"/>
          <w:divBdr>
            <w:top w:val="none" w:sz="0" w:space="0" w:color="auto"/>
            <w:left w:val="none" w:sz="0" w:space="0" w:color="auto"/>
            <w:bottom w:val="none" w:sz="0" w:space="0" w:color="auto"/>
            <w:right w:val="none" w:sz="0" w:space="0" w:color="auto"/>
          </w:divBdr>
          <w:divsChild>
            <w:div w:id="1192374579">
              <w:marLeft w:val="0"/>
              <w:marRight w:val="0"/>
              <w:marTop w:val="0"/>
              <w:marBottom w:val="0"/>
              <w:divBdr>
                <w:top w:val="none" w:sz="0" w:space="0" w:color="auto"/>
                <w:left w:val="none" w:sz="0" w:space="0" w:color="auto"/>
                <w:bottom w:val="none" w:sz="0" w:space="0" w:color="auto"/>
                <w:right w:val="none" w:sz="0" w:space="0" w:color="auto"/>
              </w:divBdr>
              <w:divsChild>
                <w:div w:id="1926306820">
                  <w:marLeft w:val="0"/>
                  <w:marRight w:val="0"/>
                  <w:marTop w:val="0"/>
                  <w:marBottom w:val="0"/>
                  <w:divBdr>
                    <w:top w:val="none" w:sz="0" w:space="0" w:color="auto"/>
                    <w:left w:val="none" w:sz="0" w:space="0" w:color="auto"/>
                    <w:bottom w:val="none" w:sz="0" w:space="0" w:color="auto"/>
                    <w:right w:val="none" w:sz="0" w:space="0" w:color="auto"/>
                  </w:divBdr>
                  <w:divsChild>
                    <w:div w:id="1791630801">
                      <w:marLeft w:val="0"/>
                      <w:marRight w:val="0"/>
                      <w:marTop w:val="0"/>
                      <w:marBottom w:val="0"/>
                      <w:divBdr>
                        <w:top w:val="none" w:sz="0" w:space="0" w:color="auto"/>
                        <w:left w:val="none" w:sz="0" w:space="0" w:color="auto"/>
                        <w:bottom w:val="none" w:sz="0" w:space="0" w:color="auto"/>
                        <w:right w:val="none" w:sz="0" w:space="0" w:color="auto"/>
                      </w:divBdr>
                      <w:divsChild>
                        <w:div w:id="730738140">
                          <w:marLeft w:val="0"/>
                          <w:marRight w:val="0"/>
                          <w:marTop w:val="0"/>
                          <w:marBottom w:val="0"/>
                          <w:divBdr>
                            <w:top w:val="none" w:sz="0" w:space="0" w:color="auto"/>
                            <w:left w:val="none" w:sz="0" w:space="0" w:color="auto"/>
                            <w:bottom w:val="none" w:sz="0" w:space="0" w:color="auto"/>
                            <w:right w:val="none" w:sz="0" w:space="0" w:color="auto"/>
                          </w:divBdr>
                          <w:divsChild>
                            <w:div w:id="796609652">
                              <w:marLeft w:val="0"/>
                              <w:marRight w:val="0"/>
                              <w:marTop w:val="0"/>
                              <w:marBottom w:val="0"/>
                              <w:divBdr>
                                <w:top w:val="none" w:sz="0" w:space="0" w:color="auto"/>
                                <w:left w:val="none" w:sz="0" w:space="0" w:color="auto"/>
                                <w:bottom w:val="none" w:sz="0" w:space="0" w:color="auto"/>
                                <w:right w:val="none" w:sz="0" w:space="0" w:color="auto"/>
                              </w:divBdr>
                              <w:divsChild>
                                <w:div w:id="111943470">
                                  <w:marLeft w:val="0"/>
                                  <w:marRight w:val="0"/>
                                  <w:marTop w:val="0"/>
                                  <w:marBottom w:val="0"/>
                                  <w:divBdr>
                                    <w:top w:val="none" w:sz="0" w:space="0" w:color="auto"/>
                                    <w:left w:val="none" w:sz="0" w:space="0" w:color="auto"/>
                                    <w:bottom w:val="none" w:sz="0" w:space="0" w:color="auto"/>
                                    <w:right w:val="none" w:sz="0" w:space="0" w:color="auto"/>
                                  </w:divBdr>
                                  <w:divsChild>
                                    <w:div w:id="196426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9582895">
      <w:bodyDiv w:val="1"/>
      <w:marLeft w:val="0"/>
      <w:marRight w:val="0"/>
      <w:marTop w:val="0"/>
      <w:marBottom w:val="0"/>
      <w:divBdr>
        <w:top w:val="none" w:sz="0" w:space="0" w:color="auto"/>
        <w:left w:val="none" w:sz="0" w:space="0" w:color="auto"/>
        <w:bottom w:val="none" w:sz="0" w:space="0" w:color="auto"/>
        <w:right w:val="none" w:sz="0" w:space="0" w:color="auto"/>
      </w:divBdr>
    </w:div>
    <w:div w:id="2048873308">
      <w:bodyDiv w:val="1"/>
      <w:marLeft w:val="0"/>
      <w:marRight w:val="0"/>
      <w:marTop w:val="0"/>
      <w:marBottom w:val="0"/>
      <w:divBdr>
        <w:top w:val="none" w:sz="0" w:space="0" w:color="auto"/>
        <w:left w:val="none" w:sz="0" w:space="0" w:color="auto"/>
        <w:bottom w:val="none" w:sz="0" w:space="0" w:color="auto"/>
        <w:right w:val="none" w:sz="0" w:space="0" w:color="auto"/>
      </w:divBdr>
    </w:div>
    <w:div w:id="212684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38/nri2918" TargetMode="External"/><Relationship Id="rId21" Type="http://schemas.openxmlformats.org/officeDocument/2006/relationships/image" Target="media/image6.tiff"/><Relationship Id="rId34" Type="http://schemas.openxmlformats.org/officeDocument/2006/relationships/hyperlink" Target="https://doi.org/10.1002/phar.1868" TargetMode="External"/><Relationship Id="rId42" Type="http://schemas.openxmlformats.org/officeDocument/2006/relationships/hyperlink" Target="https://doi.org/10.1016/j.cmi.2023.01.027" TargetMode="External"/><Relationship Id="rId47" Type="http://schemas.openxmlformats.org/officeDocument/2006/relationships/hyperlink" Target="https://doi.org/10.1902/jop.2007.060218" TargetMode="External"/><Relationship Id="rId50" Type="http://schemas.openxmlformats.org/officeDocument/2006/relationships/hyperlink" Target="https://doi.org/10.3390/plants14111653" TargetMode="External"/><Relationship Id="rId55" Type="http://schemas.openxmlformats.org/officeDocument/2006/relationships/hyperlink" Target="https://doi.org/10.3390/antibiotics10070859"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Firas.basheer@codental.uobaghdad.edu.iq" TargetMode="External"/><Relationship Id="rId29" Type="http://schemas.openxmlformats.org/officeDocument/2006/relationships/hyperlink" Target="https://doi.org/10.1111/prd.12492" TargetMode="External"/><Relationship Id="rId11" Type="http://schemas.openxmlformats.org/officeDocument/2006/relationships/image" Target="media/image2.png"/><Relationship Id="rId24" Type="http://schemas.openxmlformats.org/officeDocument/2006/relationships/oleObject" Target="embeddings/oleObject1.bin"/><Relationship Id="rId32" Type="http://schemas.openxmlformats.org/officeDocument/2006/relationships/hyperlink" Target="https://doi.org/10.3390/antibiotics12111584" TargetMode="External"/><Relationship Id="rId37" Type="http://schemas.openxmlformats.org/officeDocument/2006/relationships/hyperlink" Target="https://doi.org/10.1007/978-1-61779-624-1_2" TargetMode="External"/><Relationship Id="rId40" Type="http://schemas.openxmlformats.org/officeDocument/2006/relationships/hyperlink" Target="https://doi.org/10.1186/s12906-022-03527-y" TargetMode="External"/><Relationship Id="rId45" Type="http://schemas.openxmlformats.org/officeDocument/2006/relationships/hyperlink" Target="https://doi.org/10.1016/S0255-0857(21)02466-X" TargetMode="External"/><Relationship Id="rId53" Type="http://schemas.openxmlformats.org/officeDocument/2006/relationships/hyperlink" Target="https://doi.org/10.22270/ujpr.v6i4.633" TargetMode="External"/><Relationship Id="rId58" Type="http://schemas.openxmlformats.org/officeDocument/2006/relationships/hyperlink" Target="https://doi.org/10.1146/annurev.med.59.110106.132000"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4.png"/><Relationship Id="rId14" Type="http://schemas.openxmlformats.org/officeDocument/2006/relationships/hyperlink" Target="https://orcid.org/0000-0002-6238-5714" TargetMode="External"/><Relationship Id="rId22" Type="http://schemas.openxmlformats.org/officeDocument/2006/relationships/image" Target="media/image7.tiff"/><Relationship Id="rId27" Type="http://schemas.openxmlformats.org/officeDocument/2006/relationships/hyperlink" Target="https://doi.org/10.1073/pnas.1019270108" TargetMode="External"/><Relationship Id="rId30" Type="http://schemas.openxmlformats.org/officeDocument/2006/relationships/hyperlink" Target="https://doi.org/10.1111/j.1600-0757.1996.tb00069.x" TargetMode="External"/><Relationship Id="rId35" Type="http://schemas.openxmlformats.org/officeDocument/2006/relationships/hyperlink" Target="https://doi.org/10.3746/pnf.2019.24.3.308" TargetMode="External"/><Relationship Id="rId43" Type="http://schemas.openxmlformats.org/officeDocument/2006/relationships/hyperlink" Target="https://doi.org/10.3390/antibiotics8030089" TargetMode="External"/><Relationship Id="rId48" Type="http://schemas.openxmlformats.org/officeDocument/2006/relationships/hyperlink" Target="https://doi.org/10.1111/apm.12151" TargetMode="External"/><Relationship Id="rId56" Type="http://schemas.openxmlformats.org/officeDocument/2006/relationships/hyperlink" Target="https://doi.org/10.1038/ijos.2013.28" TargetMode="External"/><Relationship Id="rId64" Type="http://schemas.openxmlformats.org/officeDocument/2006/relationships/fontTable" Target="fontTable.xml"/><Relationship Id="rId8" Type="http://schemas.openxmlformats.org/officeDocument/2006/relationships/hyperlink" Target="https://orcid.org/0000-0003-1594-885X" TargetMode="External"/><Relationship Id="rId51" Type="http://schemas.openxmlformats.org/officeDocument/2006/relationships/hyperlink" Target="https://doi.org/10.1016/j.jpha.2015.11.005" TargetMode="External"/><Relationship Id="rId3" Type="http://schemas.openxmlformats.org/officeDocument/2006/relationships/styles" Target="styles.xml"/><Relationship Id="rId12" Type="http://schemas.openxmlformats.org/officeDocument/2006/relationships/hyperlink" Target="https://orcid.org/0000-0002-3703-439X" TargetMode="External"/><Relationship Id="rId17" Type="http://schemas.openxmlformats.org/officeDocument/2006/relationships/image" Target="media/image3.png"/><Relationship Id="rId25" Type="http://schemas.openxmlformats.org/officeDocument/2006/relationships/hyperlink" Target="https://doi.org/10.1002/eji.201344202" TargetMode="External"/><Relationship Id="rId33" Type="http://schemas.openxmlformats.org/officeDocument/2006/relationships/hyperlink" Target="https://doi.org/10.3390/ph18081098" TargetMode="External"/><Relationship Id="rId38" Type="http://schemas.openxmlformats.org/officeDocument/2006/relationships/hyperlink" Target="https://doi.org/10.1016/B978-0-08-100674-0.00002-3" TargetMode="External"/><Relationship Id="rId46" Type="http://schemas.openxmlformats.org/officeDocument/2006/relationships/hyperlink" Target="https://doi.org/10.1111/j.1600-0757.2006.00192.x" TargetMode="External"/><Relationship Id="rId59" Type="http://schemas.openxmlformats.org/officeDocument/2006/relationships/header" Target="header1.xml"/><Relationship Id="rId20" Type="http://schemas.openxmlformats.org/officeDocument/2006/relationships/image" Target="media/image5.tiff"/><Relationship Id="rId41" Type="http://schemas.openxmlformats.org/officeDocument/2006/relationships/hyperlink" Target="https://doi.org/10.1016/j.heliyon.2023.e23418" TargetMode="External"/><Relationship Id="rId54" Type="http://schemas.openxmlformats.org/officeDocument/2006/relationships/hyperlink" Target="https://doi.org/10.1080/20002297.2018.1457373"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omar.soliman@dent.svu.edu.eg" TargetMode="External"/><Relationship Id="rId23" Type="http://schemas.openxmlformats.org/officeDocument/2006/relationships/image" Target="media/image8.emf"/><Relationship Id="rId28" Type="http://schemas.openxmlformats.org/officeDocument/2006/relationships/hyperlink" Target="https://doi.org/10.1111/jcpe.13290" TargetMode="External"/><Relationship Id="rId36" Type="http://schemas.openxmlformats.org/officeDocument/2006/relationships/hyperlink" Target="https://doi.org/10.1111/j.1348-0421.2001.tb01272.x" TargetMode="External"/><Relationship Id="rId49" Type="http://schemas.openxmlformats.org/officeDocument/2006/relationships/hyperlink" Target="https://doi.org/10.3390/foods13193151" TargetMode="External"/><Relationship Id="rId57" Type="http://schemas.openxmlformats.org/officeDocument/2006/relationships/hyperlink" Target="https://doi.org/10.1111/jfbc.13029" TargetMode="External"/><Relationship Id="rId10" Type="http://schemas.openxmlformats.org/officeDocument/2006/relationships/hyperlink" Target="mailto:Firas.basheer@codental.uobaghdad.edu.iq" TargetMode="External"/><Relationship Id="rId31" Type="http://schemas.openxmlformats.org/officeDocument/2006/relationships/hyperlink" Target="https://doi.org/10.1002/JPER.20-0128" TargetMode="External"/><Relationship Id="rId44" Type="http://schemas.openxmlformats.org/officeDocument/2006/relationships/hyperlink" Target="https://doi.org/10.3791/53408" TargetMode="External"/><Relationship Id="rId52" Type="http://schemas.openxmlformats.org/officeDocument/2006/relationships/hyperlink" Target="https://doi.org/10.5812/mejrh.103529" TargetMode="External"/><Relationship Id="rId60" Type="http://schemas.openxmlformats.org/officeDocument/2006/relationships/header" Target="header2.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mailto:ali.faisal@alkafeel.edu.iq" TargetMode="External"/><Relationship Id="rId18" Type="http://schemas.openxmlformats.org/officeDocument/2006/relationships/hyperlink" Target="https://creativecommons.org/licenses/by/4.0/" TargetMode="External"/><Relationship Id="rId39" Type="http://schemas.openxmlformats.org/officeDocument/2006/relationships/hyperlink" Target="https://doi.org/10.1007/s12010-009-880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7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5B691A3-B749-422B-AE3E-CF16EE027916}">
  <we:reference id="WA200002492" version="1.0.0.3" store="Omex" storeType="OMEX"/>
  <we:alternateReferences>
    <we:reference id="WA200002492" version="1.0.0.3" store="WA200002492"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Chicago" Version="6"/>
</file>

<file path=customXml/itemProps1.xml><?xml version="1.0" encoding="utf-8"?>
<ds:datastoreItem xmlns:ds="http://schemas.openxmlformats.org/officeDocument/2006/customXml" ds:itemID="{F446BFAB-69A0-5F48-9E59-9A69A6E3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8734</Words>
  <Characters>53806</Characters>
  <Application>Microsoft Office Word</Application>
  <DocSecurity>0</DocSecurity>
  <Lines>827</Lines>
  <Paragraphs>277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Al-Qaisar Technologies</Company>
  <LinksUpToDate>false</LinksUpToDate>
  <CharactersWithSpaces>62263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None</cp:lastModifiedBy>
  <cp:revision>65</cp:revision>
  <cp:lastPrinted>2025-12-14T19:36:00Z</cp:lastPrinted>
  <dcterms:created xsi:type="dcterms:W3CDTF">2025-11-23T14:00:00Z</dcterms:created>
  <dcterms:modified xsi:type="dcterms:W3CDTF">2025-12-14T19:53:00Z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http://csl.mendeley.com/styles/650926951/harvard-cite-them-right</vt:lpwstr>
  </property>
  <property fmtid="{D5CDD505-2E9C-101B-9397-08002B2CF9AE}" pid="9" name="Mendeley Recent Style Name 3_1">
    <vt:lpwstr>Baghdad dentistry college - Harvard - Aqeel M Bahya</vt:lpwstr>
  </property>
  <property fmtid="{D5CDD505-2E9C-101B-9397-08002B2CF9AE}" pid="10" name="Mendeley Recent Style Id 4_1">
    <vt:lpwstr>http://csl.mendeley.com/styles/650926951/harvard-dundalk-institute-of-technology</vt:lpwstr>
  </property>
  <property fmtid="{D5CDD505-2E9C-101B-9397-08002B2CF9AE}" pid="11" name="Mendeley Recent Style Name 4_1">
    <vt:lpwstr>Baghdad university college of dentistry - Harvard - Aqeel M Bahya</vt:lpwstr>
  </property>
  <property fmtid="{D5CDD505-2E9C-101B-9397-08002B2CF9AE}" pid="12" name="Mendeley Recent Style Id 5_1">
    <vt:lpwstr>https://csl.mendeley.com/styles/650926951/harvard-dundalk-institute-of-technology</vt:lpwstr>
  </property>
  <property fmtid="{D5CDD505-2E9C-101B-9397-08002B2CF9AE}" pid="13" name="Mendeley Recent Style Name 5_1">
    <vt:lpwstr>Baghdad university college of dentistry 1 - Harvard - Aqeel M Bahya</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http://www.zotero.org/styles/harvard-dundalk-institute-of-technology</vt:lpwstr>
  </property>
  <property fmtid="{D5CDD505-2E9C-101B-9397-08002B2CF9AE}" pid="17" name="Mendeley Recent Style Name 7_1">
    <vt:lpwstr>Dundalk Institute of Technology - Harvard</vt:lpwstr>
  </property>
  <property fmtid="{D5CDD505-2E9C-101B-9397-08002B2CF9AE}" pid="18" name="Mendeley Recent Style Id 8_1">
    <vt:lpwstr>http://www.zotero.org/styles/harvard1</vt:lpwstr>
  </property>
  <property fmtid="{D5CDD505-2E9C-101B-9397-08002B2CF9AE}" pid="19" name="Mendeley Recent Style Name 8_1">
    <vt:lpwstr>Harvard reference format 1 (deprecated)</vt:lpwstr>
  </property>
  <property fmtid="{D5CDD505-2E9C-101B-9397-08002B2CF9AE}" pid="20" name="Mendeley Recent Style Id 9_1">
    <vt:lpwstr>http://www.zotero.org/styles/ieee</vt:lpwstr>
  </property>
  <property fmtid="{D5CDD505-2E9C-101B-9397-08002B2CF9AE}" pid="21" name="Mendeley Recent Style Name 9_1">
    <vt:lpwstr>IEEE</vt:lpwstr>
  </property>
  <property fmtid="{D5CDD505-2E9C-101B-9397-08002B2CF9AE}" pid="22" name="Mendeley Document_1">
    <vt:lpwstr>True</vt:lpwstr>
  </property>
  <property fmtid="{D5CDD505-2E9C-101B-9397-08002B2CF9AE}" pid="23" name="Mendeley Unique User Id_1">
    <vt:lpwstr>21a54fe9-d008-3315-9a04-d904bb44a21e</vt:lpwstr>
  </property>
  <property fmtid="{D5CDD505-2E9C-101B-9397-08002B2CF9AE}" pid="24" name="Mendeley Citation Style_1">
    <vt:lpwstr>http://www.zotero.org/styles/american-medical-association</vt:lpwstr>
  </property>
</Properties>
</file>