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78BE" w14:textId="1346ACD4" w:rsidR="00EA6902" w:rsidRPr="00004DCE" w:rsidRDefault="00B22256" w:rsidP="00B22256">
      <w:pPr>
        <w:pStyle w:val="MDPI11articletype"/>
        <w:spacing w:before="0"/>
        <w:ind w:left="0" w:firstLine="0"/>
        <w:rPr>
          <w:lang w:val="en-GB"/>
        </w:rPr>
      </w:pPr>
      <w:r>
        <w:rPr>
          <w:lang w:val="en-GB"/>
        </w:rPr>
        <w:t xml:space="preserve">           </w:t>
      </w:r>
      <w:r w:rsidR="006100F6" w:rsidRPr="00004DCE">
        <w:rPr>
          <w:lang w:val="en-GB"/>
        </w:rPr>
        <w:t>Research Article</w:t>
      </w:r>
    </w:p>
    <w:p w14:paraId="711E72DA" w14:textId="26F341A0" w:rsidR="00FF20E9" w:rsidRPr="00B22256" w:rsidRDefault="00FF20E9" w:rsidP="00206E5C">
      <w:pPr>
        <w:pStyle w:val="MDPI16affiliation"/>
        <w:ind w:left="1350" w:right="116" w:hanging="357"/>
        <w:jc w:val="left"/>
        <w:rPr>
          <w:b/>
          <w:snapToGrid w:val="0"/>
          <w:sz w:val="36"/>
          <w:szCs w:val="20"/>
        </w:rPr>
      </w:pPr>
      <w:r w:rsidRPr="00B22256">
        <w:rPr>
          <w:b/>
          <w:snapToGrid w:val="0"/>
          <w:sz w:val="36"/>
          <w:szCs w:val="20"/>
        </w:rPr>
        <w:t xml:space="preserve">Effect of </w:t>
      </w:r>
      <w:r w:rsidR="00D36B79" w:rsidRPr="00B22256">
        <w:rPr>
          <w:b/>
          <w:snapToGrid w:val="0"/>
          <w:sz w:val="36"/>
          <w:szCs w:val="20"/>
        </w:rPr>
        <w:t>adding titanium dioxide nanoparticles</w:t>
      </w:r>
      <w:r w:rsidRPr="00B22256">
        <w:rPr>
          <w:b/>
          <w:snapToGrid w:val="0"/>
          <w:sz w:val="36"/>
          <w:szCs w:val="20"/>
        </w:rPr>
        <w:t xml:space="preserve"> on </w:t>
      </w:r>
      <w:r w:rsidR="00D36B79">
        <w:rPr>
          <w:b/>
          <w:snapToGrid w:val="0"/>
          <w:sz w:val="36"/>
          <w:szCs w:val="20"/>
        </w:rPr>
        <w:t>a</w:t>
      </w:r>
      <w:r w:rsidR="00206E5C">
        <w:rPr>
          <w:b/>
          <w:snapToGrid w:val="0"/>
          <w:sz w:val="36"/>
          <w:szCs w:val="20"/>
        </w:rPr>
        <w:t>n</w:t>
      </w:r>
      <w:r w:rsidRPr="00B22256">
        <w:rPr>
          <w:b/>
          <w:snapToGrid w:val="0"/>
          <w:sz w:val="36"/>
          <w:szCs w:val="20"/>
        </w:rPr>
        <w:t xml:space="preserve">timicrobial </w:t>
      </w:r>
      <w:r w:rsidR="00D36B79">
        <w:rPr>
          <w:b/>
          <w:snapToGrid w:val="0"/>
          <w:sz w:val="36"/>
          <w:szCs w:val="20"/>
        </w:rPr>
        <w:t>a</w:t>
      </w:r>
      <w:r w:rsidR="00206E5C">
        <w:rPr>
          <w:b/>
          <w:snapToGrid w:val="0"/>
          <w:sz w:val="36"/>
          <w:szCs w:val="20"/>
        </w:rPr>
        <w:t>ctivity</w:t>
      </w:r>
      <w:r w:rsidRPr="00B22256">
        <w:rPr>
          <w:b/>
          <w:snapToGrid w:val="0"/>
          <w:sz w:val="36"/>
          <w:szCs w:val="20"/>
        </w:rPr>
        <w:t xml:space="preserve"> and </w:t>
      </w:r>
      <w:r w:rsidR="00D36B79">
        <w:rPr>
          <w:b/>
          <w:snapToGrid w:val="0"/>
          <w:sz w:val="36"/>
          <w:szCs w:val="20"/>
        </w:rPr>
        <w:t>s</w:t>
      </w:r>
      <w:r w:rsidRPr="00B22256">
        <w:rPr>
          <w:b/>
          <w:snapToGrid w:val="0"/>
          <w:sz w:val="36"/>
          <w:szCs w:val="20"/>
        </w:rPr>
        <w:t xml:space="preserve">urface detail </w:t>
      </w:r>
      <w:r w:rsidR="00D36B79">
        <w:rPr>
          <w:b/>
          <w:snapToGrid w:val="0"/>
          <w:sz w:val="36"/>
          <w:szCs w:val="20"/>
        </w:rPr>
        <w:t>r</w:t>
      </w:r>
      <w:r w:rsidRPr="00B22256">
        <w:rPr>
          <w:b/>
          <w:snapToGrid w:val="0"/>
          <w:sz w:val="36"/>
          <w:szCs w:val="20"/>
        </w:rPr>
        <w:t xml:space="preserve">eproduction of </w:t>
      </w:r>
      <w:r w:rsidR="00D36B79">
        <w:rPr>
          <w:b/>
          <w:snapToGrid w:val="0"/>
          <w:sz w:val="36"/>
          <w:szCs w:val="20"/>
        </w:rPr>
        <w:t>d</w:t>
      </w:r>
      <w:r w:rsidRPr="00B22256">
        <w:rPr>
          <w:b/>
          <w:snapToGrid w:val="0"/>
          <w:sz w:val="36"/>
          <w:szCs w:val="20"/>
        </w:rPr>
        <w:t xml:space="preserve">ental </w:t>
      </w:r>
      <w:r w:rsidR="00D36B79">
        <w:rPr>
          <w:b/>
          <w:snapToGrid w:val="0"/>
          <w:sz w:val="36"/>
          <w:szCs w:val="20"/>
        </w:rPr>
        <w:t>a</w:t>
      </w:r>
      <w:r w:rsidRPr="00B22256">
        <w:rPr>
          <w:b/>
          <w:snapToGrid w:val="0"/>
          <w:sz w:val="36"/>
          <w:szCs w:val="20"/>
        </w:rPr>
        <w:t>lginate</w:t>
      </w:r>
    </w:p>
    <w:p w14:paraId="57EBF465" w14:textId="0549FF61" w:rsidR="001E1926" w:rsidRPr="00B22256" w:rsidRDefault="00283F2F" w:rsidP="00283F2F">
      <w:pPr>
        <w:spacing w:line="240" w:lineRule="auto"/>
        <w:ind w:left="2610" w:right="206" w:hanging="1440"/>
        <w:jc w:val="left"/>
        <w:rPr>
          <w:rFonts w:eastAsia="Calibri" w:cstheme="majorBidi"/>
          <w:b/>
          <w:bCs/>
          <w:color w:val="auto"/>
          <w:lang w:eastAsia="en-US"/>
        </w:rPr>
      </w:pPr>
      <w:r>
        <w:rPr>
          <w:rFonts w:eastAsia="Calibri" w:cstheme="majorBidi"/>
          <w:b/>
          <w:bCs/>
          <w:color w:val="auto"/>
          <w:lang w:eastAsia="en-US"/>
        </w:rPr>
        <w:t xml:space="preserve">             </w:t>
      </w:r>
      <w:proofErr w:type="spellStart"/>
      <w:r w:rsidR="00FF20E9" w:rsidRPr="00B22256">
        <w:rPr>
          <w:rFonts w:eastAsia="Calibri" w:cstheme="majorBidi"/>
          <w:b/>
          <w:bCs/>
          <w:color w:val="auto"/>
          <w:lang w:eastAsia="en-US"/>
        </w:rPr>
        <w:t>Ranj</w:t>
      </w:r>
      <w:proofErr w:type="spellEnd"/>
      <w:r w:rsidR="00FF20E9" w:rsidRPr="00B22256">
        <w:rPr>
          <w:rFonts w:eastAsia="Calibri" w:cstheme="majorBidi"/>
          <w:b/>
          <w:bCs/>
          <w:color w:val="auto"/>
          <w:lang w:eastAsia="en-US"/>
        </w:rPr>
        <w:t xml:space="preserve"> A. </w:t>
      </w:r>
      <w:bookmarkStart w:id="0" w:name="_Hlk128676400"/>
      <w:r w:rsidR="00FF20E9" w:rsidRPr="00B22256">
        <w:rPr>
          <w:rFonts w:eastAsia="Calibri" w:cstheme="majorBidi"/>
          <w:b/>
          <w:bCs/>
          <w:color w:val="auto"/>
          <w:lang w:eastAsia="en-US"/>
        </w:rPr>
        <w:t>Omer</w:t>
      </w:r>
      <w:bookmarkEnd w:id="0"/>
      <w:r w:rsidR="00FF20E9" w:rsidRPr="00B22256">
        <w:rPr>
          <w:rFonts w:eastAsia="Calibri" w:cstheme="majorBidi"/>
          <w:b/>
          <w:bCs/>
          <w:color w:val="auto"/>
          <w:lang w:eastAsia="en-US"/>
        </w:rPr>
        <w:t xml:space="preserve"> </w:t>
      </w:r>
      <w:r w:rsidR="00FF20E9" w:rsidRPr="00B22256">
        <w:rPr>
          <w:rFonts w:eastAsia="Calibri" w:cstheme="majorBidi"/>
          <w:b/>
          <w:bCs/>
          <w:color w:val="auto"/>
          <w:vertAlign w:val="superscript"/>
          <w:lang w:eastAsia="en-US"/>
        </w:rPr>
        <w:t>1</w:t>
      </w:r>
      <w:r w:rsidR="00B22256">
        <w:rPr>
          <w:rFonts w:eastAsia="Calibri" w:cstheme="majorBidi"/>
          <w:b/>
          <w:bCs/>
          <w:color w:val="auto"/>
          <w:vertAlign w:val="superscript"/>
          <w:lang w:eastAsia="en-US"/>
        </w:rPr>
        <w:t>*</w:t>
      </w:r>
      <w:r w:rsidR="00FF20E9" w:rsidRPr="00B22256">
        <w:rPr>
          <w:rFonts w:eastAsia="Calibri" w:cstheme="majorBidi"/>
          <w:b/>
          <w:bCs/>
          <w:color w:val="auto"/>
          <w:lang w:eastAsia="en-US"/>
        </w:rPr>
        <w:t xml:space="preserve"> , </w:t>
      </w:r>
      <w:proofErr w:type="spellStart"/>
      <w:r w:rsidR="00FF20E9" w:rsidRPr="00B22256">
        <w:rPr>
          <w:rFonts w:eastAsia="Calibri" w:cstheme="majorBidi"/>
          <w:b/>
          <w:bCs/>
          <w:color w:val="auto"/>
          <w:lang w:eastAsia="en-US"/>
        </w:rPr>
        <w:t>Hoshang</w:t>
      </w:r>
      <w:proofErr w:type="spellEnd"/>
      <w:r w:rsidR="00FF20E9" w:rsidRPr="00B22256">
        <w:rPr>
          <w:rFonts w:eastAsia="Calibri" w:cstheme="majorBidi"/>
          <w:b/>
          <w:bCs/>
          <w:color w:val="auto"/>
          <w:lang w:eastAsia="en-US"/>
        </w:rPr>
        <w:t xml:space="preserve"> </w:t>
      </w:r>
      <w:proofErr w:type="spellStart"/>
      <w:r w:rsidR="00E01FBA" w:rsidRPr="00B22256">
        <w:rPr>
          <w:rFonts w:eastAsia="Calibri" w:cstheme="majorBidi"/>
          <w:b/>
          <w:bCs/>
          <w:color w:val="auto"/>
          <w:lang w:eastAsia="en-US"/>
        </w:rPr>
        <w:t>K</w:t>
      </w:r>
      <w:r w:rsidR="00FF20E9" w:rsidRPr="00B22256">
        <w:rPr>
          <w:rFonts w:eastAsia="Calibri" w:cstheme="majorBidi"/>
          <w:b/>
          <w:bCs/>
          <w:color w:val="auto"/>
          <w:lang w:eastAsia="en-US"/>
        </w:rPr>
        <w:t>h</w:t>
      </w:r>
      <w:proofErr w:type="spellEnd"/>
      <w:r w:rsidR="00FF20E9" w:rsidRPr="00B22256">
        <w:rPr>
          <w:rFonts w:eastAsia="Calibri" w:cstheme="majorBidi"/>
          <w:b/>
          <w:bCs/>
          <w:color w:val="auto"/>
          <w:lang w:eastAsia="en-US"/>
        </w:rPr>
        <w:t>. Abdel-Rahman</w:t>
      </w:r>
      <w:r w:rsidR="00FF20E9" w:rsidRPr="00B22256">
        <w:rPr>
          <w:rFonts w:eastAsia="Calibri" w:cstheme="majorBidi"/>
          <w:b/>
          <w:bCs/>
          <w:color w:val="auto"/>
          <w:vertAlign w:val="superscript"/>
          <w:lang w:eastAsia="en-US"/>
        </w:rPr>
        <w:t>2</w:t>
      </w:r>
      <w:r w:rsidR="00FF20E9" w:rsidRPr="00B22256">
        <w:rPr>
          <w:rFonts w:eastAsia="Calibri" w:cstheme="majorBidi"/>
          <w:b/>
          <w:bCs/>
          <w:color w:val="auto"/>
          <w:lang w:eastAsia="en-US"/>
        </w:rPr>
        <w:t xml:space="preserve"> , </w:t>
      </w:r>
      <w:proofErr w:type="spellStart"/>
      <w:r w:rsidR="002C29CF" w:rsidRPr="00B22256">
        <w:rPr>
          <w:rFonts w:eastAsia="Calibri" w:cstheme="majorBidi"/>
          <w:b/>
          <w:bCs/>
          <w:color w:val="auto"/>
          <w:lang w:eastAsia="en-US"/>
        </w:rPr>
        <w:t>Mahabad</w:t>
      </w:r>
      <w:proofErr w:type="spellEnd"/>
      <w:r w:rsidR="002C29CF" w:rsidRPr="00B22256">
        <w:rPr>
          <w:rFonts w:eastAsia="Calibri" w:cstheme="majorBidi"/>
          <w:b/>
          <w:bCs/>
          <w:color w:val="auto"/>
          <w:lang w:eastAsia="en-US"/>
        </w:rPr>
        <w:t xml:space="preserve"> M. Saleh</w:t>
      </w:r>
      <w:r w:rsidR="002C29CF" w:rsidRPr="00B22256">
        <w:rPr>
          <w:rFonts w:eastAsia="Calibri" w:cstheme="majorBidi"/>
          <w:b/>
          <w:bCs/>
          <w:color w:val="auto"/>
          <w:vertAlign w:val="superscript"/>
          <w:lang w:eastAsia="en-US"/>
        </w:rPr>
        <w:t xml:space="preserve"> </w:t>
      </w:r>
      <w:r w:rsidR="00317C5E">
        <w:rPr>
          <w:rFonts w:eastAsia="Calibri" w:cstheme="majorBidi"/>
          <w:b/>
          <w:bCs/>
          <w:color w:val="auto"/>
          <w:vertAlign w:val="superscript"/>
          <w:lang w:eastAsia="en-US"/>
        </w:rPr>
        <w:t>2</w:t>
      </w:r>
      <w:r w:rsidR="00FF20E9" w:rsidRPr="00B22256">
        <w:rPr>
          <w:rFonts w:eastAsia="Calibri" w:cstheme="majorBidi"/>
          <w:b/>
          <w:bCs/>
          <w:color w:val="auto"/>
          <w:lang w:eastAsia="en-US"/>
        </w:rPr>
        <w:t xml:space="preserve"> ,</w:t>
      </w:r>
      <w:r w:rsidR="002C29CF" w:rsidRPr="00B22256">
        <w:rPr>
          <w:rFonts w:eastAsia="Calibri" w:cstheme="majorBidi"/>
          <w:b/>
          <w:bCs/>
          <w:color w:val="auto"/>
          <w:vertAlign w:val="superscript"/>
          <w:lang w:eastAsia="en-US"/>
        </w:rPr>
        <w:t xml:space="preserve"> </w:t>
      </w:r>
      <w:proofErr w:type="spellStart"/>
      <w:r w:rsidR="002C29CF" w:rsidRPr="00B22256">
        <w:rPr>
          <w:rFonts w:eastAsia="Calibri" w:cstheme="majorBidi"/>
          <w:b/>
          <w:bCs/>
          <w:color w:val="auto"/>
          <w:lang w:eastAsia="en-US"/>
        </w:rPr>
        <w:t>Sazgar</w:t>
      </w:r>
      <w:proofErr w:type="spellEnd"/>
      <w:r w:rsidR="002C29CF" w:rsidRPr="00B22256">
        <w:rPr>
          <w:rFonts w:eastAsia="Calibri" w:cstheme="majorBidi"/>
          <w:b/>
          <w:bCs/>
          <w:color w:val="auto"/>
          <w:lang w:eastAsia="en-US"/>
        </w:rPr>
        <w:t xml:space="preserve"> S.Q. Al-</w:t>
      </w:r>
      <w:proofErr w:type="spellStart"/>
      <w:r w:rsidR="002C29CF" w:rsidRPr="00B22256">
        <w:rPr>
          <w:rFonts w:eastAsia="Calibri" w:cstheme="majorBidi"/>
          <w:b/>
          <w:bCs/>
          <w:color w:val="auto"/>
          <w:lang w:eastAsia="en-US"/>
        </w:rPr>
        <w:t>Hawezi</w:t>
      </w:r>
      <w:proofErr w:type="spellEnd"/>
      <w:r w:rsidR="002C29CF" w:rsidRPr="00B22256">
        <w:rPr>
          <w:rFonts w:eastAsia="Calibri" w:cstheme="majorBidi"/>
          <w:b/>
          <w:bCs/>
          <w:color w:val="auto"/>
          <w:vertAlign w:val="superscript"/>
          <w:lang w:eastAsia="en-US"/>
        </w:rPr>
        <w:t xml:space="preserve"> </w:t>
      </w:r>
      <w:r w:rsidR="00317C5E">
        <w:rPr>
          <w:rFonts w:eastAsia="Calibri" w:cstheme="majorBidi"/>
          <w:b/>
          <w:bCs/>
          <w:color w:val="auto"/>
          <w:vertAlign w:val="superscript"/>
          <w:lang w:eastAsia="en-US"/>
        </w:rPr>
        <w:t>3</w:t>
      </w:r>
      <w:r w:rsidR="00FF20E9" w:rsidRPr="00B22256">
        <w:rPr>
          <w:rFonts w:eastAsia="Calibri" w:cstheme="majorBidi"/>
          <w:b/>
          <w:bCs/>
          <w:color w:val="auto"/>
          <w:lang w:eastAsia="en-US"/>
        </w:rPr>
        <w:t>,  Fahd S. Ikram</w:t>
      </w:r>
      <w:r w:rsidR="00FF20E9" w:rsidRPr="00B22256">
        <w:rPr>
          <w:rFonts w:eastAsia="Calibri" w:cstheme="majorBidi"/>
          <w:b/>
          <w:bCs/>
          <w:color w:val="auto"/>
          <w:vertAlign w:val="superscript"/>
          <w:lang w:eastAsia="en-US"/>
        </w:rPr>
        <w:t>5</w:t>
      </w:r>
    </w:p>
    <w:p w14:paraId="1BB5C355" w14:textId="77777777" w:rsidR="00CB6112" w:rsidRPr="00283F2F" w:rsidRDefault="00CB6112" w:rsidP="00B22256">
      <w:pPr>
        <w:pStyle w:val="MDPI16affiliation"/>
        <w:numPr>
          <w:ilvl w:val="0"/>
          <w:numId w:val="38"/>
        </w:numPr>
        <w:tabs>
          <w:tab w:val="left" w:pos="2790"/>
        </w:tabs>
        <w:rPr>
          <w:rFonts w:cstheme="majorBidi"/>
          <w:szCs w:val="16"/>
        </w:rPr>
      </w:pPr>
      <w:proofErr w:type="spellStart"/>
      <w:r w:rsidRPr="00283F2F">
        <w:t>Gasha</w:t>
      </w:r>
      <w:proofErr w:type="spellEnd"/>
      <w:r w:rsidRPr="00283F2F">
        <w:t xml:space="preserve"> Technical Institute, Department of Dental Technology, Iraq.</w:t>
      </w:r>
    </w:p>
    <w:p w14:paraId="65BAC0DF" w14:textId="4571CBB9" w:rsidR="00CB6112" w:rsidRPr="002C29CF" w:rsidRDefault="00CB6112" w:rsidP="00B22256">
      <w:pPr>
        <w:pStyle w:val="MDPI16affiliation"/>
        <w:numPr>
          <w:ilvl w:val="0"/>
          <w:numId w:val="38"/>
        </w:numPr>
        <w:tabs>
          <w:tab w:val="left" w:pos="2790"/>
        </w:tabs>
        <w:rPr>
          <w:rFonts w:cstheme="majorBidi"/>
          <w:szCs w:val="16"/>
        </w:rPr>
      </w:pPr>
      <w:r w:rsidRPr="00283F2F">
        <w:t xml:space="preserve">Department of Prosthodontics, College of Dentistry, </w:t>
      </w:r>
      <w:proofErr w:type="spellStart"/>
      <w:r w:rsidRPr="00283F2F">
        <w:t>Hawler</w:t>
      </w:r>
      <w:proofErr w:type="spellEnd"/>
      <w:r w:rsidRPr="00283F2F">
        <w:t xml:space="preserve"> Medical University, Iraq. </w:t>
      </w:r>
    </w:p>
    <w:p w14:paraId="4515D26A" w14:textId="0C65764D" w:rsidR="002C29CF" w:rsidRPr="002C29CF" w:rsidRDefault="00CB6112" w:rsidP="002C29CF">
      <w:pPr>
        <w:pStyle w:val="MDPI16affiliation"/>
        <w:numPr>
          <w:ilvl w:val="0"/>
          <w:numId w:val="38"/>
        </w:numPr>
        <w:tabs>
          <w:tab w:val="left" w:pos="2790"/>
        </w:tabs>
        <w:rPr>
          <w:rFonts w:cstheme="majorBidi"/>
          <w:szCs w:val="16"/>
        </w:rPr>
      </w:pPr>
      <w:r w:rsidRPr="00283F2F">
        <w:t xml:space="preserve">Department of Conservative Dentistry, College of Dentistry, </w:t>
      </w:r>
      <w:proofErr w:type="spellStart"/>
      <w:r w:rsidRPr="00283F2F">
        <w:t>Hawler</w:t>
      </w:r>
      <w:proofErr w:type="spellEnd"/>
      <w:r w:rsidRPr="00283F2F">
        <w:t xml:space="preserve"> Medical University, Iraq.</w:t>
      </w:r>
    </w:p>
    <w:p w14:paraId="4AAA09AB" w14:textId="77777777" w:rsidR="00CB6112" w:rsidRPr="00283F2F" w:rsidRDefault="00CB6112" w:rsidP="00B22256">
      <w:pPr>
        <w:pStyle w:val="MDPI16affiliation"/>
        <w:numPr>
          <w:ilvl w:val="0"/>
          <w:numId w:val="38"/>
        </w:numPr>
        <w:tabs>
          <w:tab w:val="left" w:pos="2790"/>
        </w:tabs>
        <w:rPr>
          <w:rFonts w:cstheme="majorBidi"/>
          <w:szCs w:val="16"/>
        </w:rPr>
      </w:pPr>
      <w:r w:rsidRPr="00283F2F">
        <w:t xml:space="preserve">Department of Prosthodontics, College of Dentistry, </w:t>
      </w:r>
      <w:proofErr w:type="spellStart"/>
      <w:r w:rsidRPr="00283F2F">
        <w:t>Hawler</w:t>
      </w:r>
      <w:proofErr w:type="spellEnd"/>
      <w:r w:rsidRPr="00283F2F">
        <w:t xml:space="preserve"> Medical University, Iraq. </w:t>
      </w:r>
    </w:p>
    <w:p w14:paraId="3A59924A" w14:textId="0D136A04" w:rsidR="00EA6902" w:rsidRPr="00004DCE" w:rsidRDefault="00076BBA" w:rsidP="00076BBA">
      <w:pPr>
        <w:pStyle w:val="MDPI16affiliation"/>
        <w:rPr>
          <w:lang w:val="en-GB"/>
        </w:rPr>
      </w:pPr>
      <w:r w:rsidRPr="00004DCE">
        <w:rPr>
          <w:b/>
          <w:lang w:val="en-GB"/>
        </w:rPr>
        <w:t>*</w:t>
      </w:r>
      <w:r w:rsidRPr="00004DCE">
        <w:rPr>
          <w:lang w:val="en-GB"/>
        </w:rPr>
        <w:tab/>
        <w:t xml:space="preserve">Correspondence: </w:t>
      </w:r>
      <w:hyperlink r:id="rId8" w:history="1">
        <w:r w:rsidR="005959CD" w:rsidRPr="005959CD">
          <w:rPr>
            <w:rStyle w:val="Hyperlink"/>
            <w:b/>
            <w:bCs/>
          </w:rPr>
          <w:t>dentist_46@yahoo.com</w:t>
        </w:r>
      </w:hyperlink>
    </w:p>
    <w:p w14:paraId="4DB01D84" w14:textId="77777777" w:rsidR="00FE68E8" w:rsidRDefault="00FE68E8" w:rsidP="002169CF">
      <w:pPr>
        <w:pStyle w:val="MDPI17abstract"/>
        <w:spacing w:before="0"/>
        <w:rPr>
          <w:b/>
          <w:szCs w:val="18"/>
          <w:lang w:val="en-GB"/>
        </w:rPr>
      </w:pPr>
    </w:p>
    <w:tbl>
      <w:tblPr>
        <w:tblpPr w:leftFromText="198" w:rightFromText="198" w:vertAnchor="page" w:horzAnchor="margin" w:tblpY="4759"/>
        <w:tblW w:w="23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</w:tblGrid>
      <w:tr w:rsidR="00DD289B" w:rsidRPr="00004DCE" w14:paraId="39F26282" w14:textId="77777777" w:rsidTr="00DD289B">
        <w:trPr>
          <w:trHeight w:val="4388"/>
        </w:trPr>
        <w:tc>
          <w:tcPr>
            <w:tcW w:w="2395" w:type="dxa"/>
            <w:shd w:val="clear" w:color="auto" w:fill="auto"/>
          </w:tcPr>
          <w:p w14:paraId="46A62C41" w14:textId="77777777" w:rsidR="00DD289B" w:rsidRPr="00482948" w:rsidRDefault="00DD289B" w:rsidP="00DD289B">
            <w:pPr>
              <w:pStyle w:val="MDPI14history"/>
              <w:ind w:left="0" w:firstLine="0"/>
              <w:rPr>
                <w:rFonts w:ascii="SimSun" w:eastAsia="SimSun" w:hAnsi="SimSun" w:cs="SimSun"/>
                <w:b/>
                <w:bCs/>
              </w:rPr>
            </w:pPr>
            <w:r w:rsidRPr="00482948">
              <w:rPr>
                <w:b/>
                <w:bCs/>
                <w:szCs w:val="14"/>
              </w:rPr>
              <w:t>Received</w:t>
            </w:r>
            <w:r>
              <w:rPr>
                <w:b/>
                <w:bCs/>
                <w:szCs w:val="14"/>
              </w:rPr>
              <w:t xml:space="preserve"> </w:t>
            </w:r>
            <w:r w:rsidRPr="00482948">
              <w:rPr>
                <w:b/>
                <w:bCs/>
                <w:szCs w:val="14"/>
              </w:rPr>
              <w:t xml:space="preserve">date: </w:t>
            </w:r>
            <w:r>
              <w:rPr>
                <w:b/>
                <w:bCs/>
                <w:szCs w:val="14"/>
              </w:rPr>
              <w:t>09-05-2022</w:t>
            </w:r>
          </w:p>
          <w:p w14:paraId="6FFC89B6" w14:textId="77777777" w:rsidR="00DD289B" w:rsidRPr="00482948" w:rsidRDefault="00DD289B" w:rsidP="00DD289B">
            <w:pPr>
              <w:pStyle w:val="MDPI14history"/>
              <w:ind w:left="0" w:firstLine="0"/>
              <w:rPr>
                <w:b/>
                <w:bCs/>
                <w:szCs w:val="14"/>
              </w:rPr>
            </w:pPr>
            <w:r w:rsidRPr="00482948">
              <w:rPr>
                <w:b/>
                <w:bCs/>
                <w:szCs w:val="14"/>
              </w:rPr>
              <w:t>Accepted</w:t>
            </w:r>
            <w:r>
              <w:rPr>
                <w:b/>
                <w:bCs/>
                <w:szCs w:val="14"/>
              </w:rPr>
              <w:t xml:space="preserve"> </w:t>
            </w:r>
            <w:r w:rsidRPr="00482948">
              <w:rPr>
                <w:b/>
                <w:bCs/>
                <w:szCs w:val="14"/>
              </w:rPr>
              <w:t xml:space="preserve">date: </w:t>
            </w:r>
            <w:r>
              <w:rPr>
                <w:b/>
                <w:bCs/>
                <w:szCs w:val="14"/>
              </w:rPr>
              <w:t>10-06-2022</w:t>
            </w:r>
          </w:p>
          <w:p w14:paraId="463BF717" w14:textId="77777777" w:rsidR="00DD289B" w:rsidRPr="00482948" w:rsidRDefault="00DD289B" w:rsidP="00DD289B">
            <w:pPr>
              <w:pStyle w:val="MDPI14history"/>
              <w:spacing w:after="120"/>
              <w:ind w:left="0" w:firstLine="0"/>
              <w:rPr>
                <w:b/>
                <w:bCs/>
                <w:szCs w:val="14"/>
              </w:rPr>
            </w:pPr>
            <w:r w:rsidRPr="00482948">
              <w:rPr>
                <w:b/>
                <w:bCs/>
                <w:szCs w:val="14"/>
              </w:rPr>
              <w:t>Published</w:t>
            </w:r>
            <w:r>
              <w:rPr>
                <w:b/>
                <w:bCs/>
                <w:szCs w:val="14"/>
              </w:rPr>
              <w:t xml:space="preserve"> </w:t>
            </w:r>
            <w:r w:rsidRPr="00482948">
              <w:rPr>
                <w:b/>
                <w:bCs/>
                <w:szCs w:val="14"/>
              </w:rPr>
              <w:t xml:space="preserve">date: </w:t>
            </w:r>
            <w:r>
              <w:rPr>
                <w:b/>
                <w:bCs/>
                <w:szCs w:val="14"/>
              </w:rPr>
              <w:t>15-03-2023</w:t>
            </w:r>
          </w:p>
          <w:p w14:paraId="0582FD75" w14:textId="77777777" w:rsidR="00DD289B" w:rsidRPr="00004DCE" w:rsidRDefault="00DD289B" w:rsidP="00DD289B">
            <w:pPr>
              <w:adjustRightInd w:val="0"/>
              <w:snapToGrid w:val="0"/>
              <w:spacing w:line="240" w:lineRule="atLeast"/>
              <w:ind w:left="0"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  <w:p w14:paraId="0D422BA7" w14:textId="77777777" w:rsidR="00DD289B" w:rsidRPr="00004DCE" w:rsidRDefault="00DD289B" w:rsidP="00DD289B">
            <w:pPr>
              <w:adjustRightInd w:val="0"/>
              <w:snapToGrid w:val="0"/>
              <w:spacing w:line="240" w:lineRule="atLeast"/>
              <w:ind w:left="0" w:right="113" w:firstLine="0"/>
              <w:jc w:val="left"/>
              <w:rPr>
                <w:rFonts w:eastAsia="DengXian"/>
                <w:b/>
                <w:bCs/>
                <w:sz w:val="14"/>
                <w:szCs w:val="14"/>
                <w:lang w:bidi="en-US"/>
              </w:rPr>
            </w:pPr>
            <w:r w:rsidRPr="00004DCE">
              <w:rPr>
                <w:rFonts w:eastAsia="DengXian"/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22B9E028" wp14:editId="4FD92A9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34290</wp:posOffset>
                  </wp:positionV>
                  <wp:extent cx="933450" cy="347345"/>
                  <wp:effectExtent l="0" t="0" r="0" b="0"/>
                  <wp:wrapTight wrapText="bothSides">
                    <wp:wrapPolygon edited="0">
                      <wp:start x="0" y="0"/>
                      <wp:lineTo x="0" y="20139"/>
                      <wp:lineTo x="21159" y="20139"/>
                      <wp:lineTo x="21159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915759" w14:textId="77777777" w:rsidR="00DD289B" w:rsidRPr="00004DCE" w:rsidRDefault="00DD289B" w:rsidP="00DD289B">
            <w:pPr>
              <w:adjustRightInd w:val="0"/>
              <w:snapToGrid w:val="0"/>
              <w:spacing w:line="240" w:lineRule="atLeast"/>
              <w:ind w:left="0" w:right="113" w:firstLine="0"/>
              <w:jc w:val="left"/>
              <w:rPr>
                <w:rFonts w:eastAsia="DengXian"/>
                <w:b/>
                <w:bCs/>
                <w:sz w:val="14"/>
                <w:szCs w:val="14"/>
                <w:lang w:bidi="en-US"/>
              </w:rPr>
            </w:pPr>
          </w:p>
          <w:p w14:paraId="68D0B537" w14:textId="77777777" w:rsidR="00DD289B" w:rsidRDefault="00DD289B" w:rsidP="00DD289B">
            <w:pPr>
              <w:adjustRightInd w:val="0"/>
              <w:snapToGrid w:val="0"/>
              <w:spacing w:line="240" w:lineRule="atLeast"/>
              <w:ind w:left="0" w:right="113" w:firstLine="0"/>
              <w:rPr>
                <w:rFonts w:eastAsia="DengXian"/>
                <w:b/>
                <w:bCs/>
                <w:sz w:val="14"/>
                <w:szCs w:val="14"/>
                <w:lang w:bidi="en-US"/>
              </w:rPr>
            </w:pPr>
          </w:p>
          <w:p w14:paraId="29C4EE8D" w14:textId="77777777" w:rsidR="00DD289B" w:rsidRPr="00004DCE" w:rsidRDefault="00DD289B" w:rsidP="00DD289B">
            <w:pPr>
              <w:adjustRightInd w:val="0"/>
              <w:snapToGrid w:val="0"/>
              <w:spacing w:line="240" w:lineRule="atLeast"/>
              <w:ind w:left="0" w:right="113" w:firstLine="0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004DCE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004DCE">
              <w:rPr>
                <w:rFonts w:eastAsia="DengXian"/>
                <w:bCs/>
                <w:sz w:val="14"/>
                <w:szCs w:val="14"/>
                <w:lang w:bidi="en-US"/>
              </w:rPr>
              <w:t xml:space="preserve"> © 2022 by the authors. Submitted for possible open access publication under the terms and conditions of the Creative Commons Attribution (CC BY) license (</w:t>
            </w:r>
            <w:hyperlink r:id="rId10" w:history="1">
              <w:r w:rsidRPr="00004DCE">
                <w:rPr>
                  <w:rStyle w:val="Hyperlink"/>
                  <w:rFonts w:eastAsia="DengXian"/>
                  <w:bCs/>
                  <w:sz w:val="14"/>
                  <w:szCs w:val="14"/>
                  <w:lang w:bidi="en-US"/>
                </w:rPr>
                <w:t>https://creativecommons.org/licenses/by/4.0/</w:t>
              </w:r>
            </w:hyperlink>
            <w:r w:rsidRPr="00004DCE">
              <w:rPr>
                <w:rFonts w:eastAsia="DengXian"/>
                <w:bCs/>
                <w:sz w:val="14"/>
                <w:szCs w:val="14"/>
                <w:lang w:bidi="en-US"/>
              </w:rPr>
              <w:t>).</w:t>
            </w:r>
          </w:p>
          <w:p w14:paraId="03005C76" w14:textId="77777777" w:rsidR="00DD289B" w:rsidRDefault="00DB2628" w:rsidP="00DD289B">
            <w:pPr>
              <w:adjustRightInd w:val="0"/>
              <w:snapToGrid w:val="0"/>
              <w:spacing w:line="240" w:lineRule="atLeast"/>
              <w:ind w:left="0" w:right="113" w:firstLine="0"/>
              <w:rPr>
                <w:rFonts w:eastAsia="DengXian"/>
                <w:bCs/>
                <w:sz w:val="18"/>
                <w:szCs w:val="18"/>
                <w:lang w:bidi="en-US"/>
              </w:rPr>
            </w:pPr>
            <w:hyperlink r:id="rId11" w:history="1">
              <w:r w:rsidR="00DD289B" w:rsidRPr="00633AA5">
                <w:rPr>
                  <w:rStyle w:val="Hyperlink"/>
                  <w:sz w:val="18"/>
                  <w:szCs w:val="18"/>
                </w:rPr>
                <w:t>https://doi.org/</w:t>
              </w:r>
              <w:r w:rsidR="00DD289B" w:rsidRPr="00633AA5">
                <w:rPr>
                  <w:rStyle w:val="Hyperlink"/>
                  <w:rFonts w:eastAsia="DengXian"/>
                  <w:bCs/>
                  <w:sz w:val="18"/>
                  <w:szCs w:val="18"/>
                  <w:lang w:bidi="en-US"/>
                </w:rPr>
                <w:t>10.26477/jbcd.v35i1.3313</w:t>
              </w:r>
            </w:hyperlink>
          </w:p>
          <w:p w14:paraId="3FE7C80D" w14:textId="77777777" w:rsidR="00DD289B" w:rsidRPr="00004DCE" w:rsidRDefault="00DD289B" w:rsidP="00DD289B">
            <w:pPr>
              <w:adjustRightInd w:val="0"/>
              <w:snapToGrid w:val="0"/>
              <w:spacing w:line="240" w:lineRule="atLeast"/>
              <w:ind w:left="0" w:right="113" w:firstLine="0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</w:tc>
      </w:tr>
    </w:tbl>
    <w:p w14:paraId="06B43F28" w14:textId="310F8786" w:rsidR="00753DCD" w:rsidRPr="004F103F" w:rsidRDefault="00B22256" w:rsidP="00932521">
      <w:pPr>
        <w:spacing w:line="240" w:lineRule="auto"/>
        <w:ind w:left="2606" w:firstLine="0"/>
        <w:contextualSpacing/>
        <w:rPr>
          <w:rStyle w:val="y2iqfc"/>
          <w:rFonts w:cstheme="majorBidi"/>
          <w:bCs/>
          <w:sz w:val="18"/>
          <w:szCs w:val="18"/>
        </w:rPr>
      </w:pPr>
      <w:r>
        <w:rPr>
          <w:rFonts w:cstheme="majorBidi"/>
          <w:b/>
          <w:sz w:val="18"/>
          <w:szCs w:val="18"/>
        </w:rPr>
        <w:t xml:space="preserve">    </w:t>
      </w:r>
      <w:r w:rsidR="008277C2" w:rsidRPr="004F103F">
        <w:rPr>
          <w:rFonts w:cstheme="majorBidi"/>
          <w:b/>
          <w:sz w:val="18"/>
          <w:szCs w:val="18"/>
        </w:rPr>
        <w:t>Abstrac</w:t>
      </w:r>
      <w:r w:rsidR="008277C2" w:rsidRPr="004F103F">
        <w:rPr>
          <w:rFonts w:cstheme="majorBidi"/>
          <w:bCs/>
          <w:sz w:val="18"/>
          <w:szCs w:val="18"/>
        </w:rPr>
        <w:t>t:</w:t>
      </w:r>
      <w:r w:rsidR="00753DCD" w:rsidRPr="004F103F">
        <w:rPr>
          <w:rFonts w:cstheme="majorBidi"/>
          <w:bCs/>
          <w:sz w:val="18"/>
          <w:szCs w:val="18"/>
        </w:rPr>
        <w:t xml:space="preserve"> </w:t>
      </w:r>
      <w:r w:rsidR="00206E5C">
        <w:rPr>
          <w:rFonts w:cstheme="majorBidi"/>
          <w:bCs/>
          <w:sz w:val="18"/>
          <w:szCs w:val="18"/>
        </w:rPr>
        <w:t>M</w:t>
      </w:r>
      <w:r w:rsidR="00D0141B">
        <w:rPr>
          <w:rFonts w:cstheme="majorBidi"/>
          <w:bCs/>
          <w:sz w:val="18"/>
          <w:szCs w:val="18"/>
        </w:rPr>
        <w:t>ost</w:t>
      </w:r>
      <w:r w:rsidR="00753DCD" w:rsidRPr="004F103F">
        <w:rPr>
          <w:rFonts w:cstheme="majorBidi"/>
          <w:bCs/>
          <w:sz w:val="18"/>
          <w:szCs w:val="18"/>
        </w:rPr>
        <w:t xml:space="preserve"> dental works </w:t>
      </w:r>
      <w:r w:rsidR="00206E5C">
        <w:rPr>
          <w:rFonts w:cstheme="majorBidi"/>
          <w:bCs/>
          <w:sz w:val="18"/>
          <w:szCs w:val="18"/>
        </w:rPr>
        <w:t>require</w:t>
      </w:r>
      <w:r w:rsidR="00753DCD" w:rsidRPr="004F103F">
        <w:rPr>
          <w:rFonts w:cstheme="majorBidi"/>
          <w:bCs/>
          <w:sz w:val="18"/>
          <w:szCs w:val="18"/>
        </w:rPr>
        <w:t xml:space="preserve"> a diagnostic </w:t>
      </w:r>
      <w:r w:rsidR="00206E5C" w:rsidRPr="004F103F">
        <w:rPr>
          <w:rFonts w:cstheme="majorBidi"/>
          <w:bCs/>
          <w:sz w:val="18"/>
          <w:szCs w:val="18"/>
        </w:rPr>
        <w:t>impression;</w:t>
      </w:r>
      <w:r w:rsidR="00753DCD" w:rsidRPr="004F103F">
        <w:rPr>
          <w:rFonts w:cstheme="majorBidi"/>
          <w:bCs/>
          <w:sz w:val="18"/>
          <w:szCs w:val="18"/>
        </w:rPr>
        <w:t xml:space="preserve"> alginate </w:t>
      </w:r>
      <w:r w:rsidR="00206E5C">
        <w:rPr>
          <w:rFonts w:cstheme="majorBidi"/>
          <w:bCs/>
          <w:sz w:val="18"/>
          <w:szCs w:val="18"/>
        </w:rPr>
        <w:t>is contemplated as</w:t>
      </w:r>
      <w:r w:rsidR="00753DCD" w:rsidRPr="004F103F">
        <w:rPr>
          <w:rFonts w:cstheme="majorBidi"/>
          <w:bCs/>
          <w:sz w:val="18"/>
          <w:szCs w:val="18"/>
        </w:rPr>
        <w:t xml:space="preserve"> the most popular material used for this purpose. Titanium dioxide nanoparticles </w:t>
      </w:r>
      <w:r w:rsidR="00206E5C">
        <w:rPr>
          <w:rFonts w:cstheme="majorBidi"/>
          <w:bCs/>
          <w:sz w:val="18"/>
          <w:szCs w:val="18"/>
        </w:rPr>
        <w:t>show</w:t>
      </w:r>
      <w:r w:rsidR="00753DCD" w:rsidRPr="004F103F">
        <w:rPr>
          <w:rFonts w:cstheme="majorBidi"/>
          <w:bCs/>
          <w:sz w:val="18"/>
          <w:szCs w:val="18"/>
        </w:rPr>
        <w:t xml:space="preserve"> evidence of antimicrobial activity in the recent era, for this purpose</w:t>
      </w:r>
      <w:r w:rsidR="00206E5C">
        <w:rPr>
          <w:rFonts w:cstheme="majorBidi"/>
          <w:bCs/>
          <w:sz w:val="18"/>
          <w:szCs w:val="18"/>
        </w:rPr>
        <w:t>,</w:t>
      </w:r>
      <w:r w:rsidR="00753DCD" w:rsidRPr="004F103F">
        <w:rPr>
          <w:rFonts w:cstheme="majorBidi"/>
          <w:bCs/>
          <w:sz w:val="18"/>
          <w:szCs w:val="18"/>
        </w:rPr>
        <w:t xml:space="preserve"> this study aimed to evaluate the effect of adding T</w:t>
      </w:r>
      <w:r w:rsidR="003C1264">
        <w:rPr>
          <w:rFonts w:cstheme="majorBidi"/>
          <w:bCs/>
          <w:sz w:val="18"/>
          <w:szCs w:val="18"/>
        </w:rPr>
        <w:t>itanium dioxide nanoparticle</w:t>
      </w:r>
      <w:r w:rsidR="00753DCD" w:rsidRPr="004F103F">
        <w:rPr>
          <w:rFonts w:cstheme="majorBidi"/>
          <w:bCs/>
          <w:sz w:val="18"/>
          <w:szCs w:val="18"/>
        </w:rPr>
        <w:t>s on antimicrobial activity and surface detail reproduction of alginate impression material.</w:t>
      </w:r>
      <w:r w:rsidR="00206E5C">
        <w:rPr>
          <w:rFonts w:cstheme="majorBidi"/>
          <w:bCs/>
          <w:sz w:val="18"/>
          <w:szCs w:val="18"/>
        </w:rPr>
        <w:t xml:space="preserve"> </w:t>
      </w:r>
      <w:r w:rsidR="00753DCD" w:rsidRPr="004F103F">
        <w:rPr>
          <w:rFonts w:cstheme="majorBidi"/>
          <w:bCs/>
          <w:color w:val="auto"/>
          <w:sz w:val="18"/>
          <w:szCs w:val="18"/>
        </w:rPr>
        <w:t>Materials and methods: Ti</w:t>
      </w:r>
      <w:r w:rsidR="003C1264">
        <w:rPr>
          <w:rFonts w:cstheme="majorBidi"/>
          <w:bCs/>
          <w:color w:val="auto"/>
          <w:sz w:val="18"/>
          <w:szCs w:val="18"/>
        </w:rPr>
        <w:t>tanium dioxide nanoparticle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s (purity = 99%, size= 20nm) </w:t>
      </w:r>
      <w:r w:rsidR="00206E5C">
        <w:rPr>
          <w:rFonts w:cstheme="majorBidi"/>
          <w:bCs/>
          <w:color w:val="auto"/>
          <w:sz w:val="18"/>
          <w:szCs w:val="18"/>
        </w:rPr>
        <w:t>was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added to alginate at three different concentrations (2%, 3% and 5%). 84 samples were prepared in total. Samples were tested for antimicrobial activity using </w:t>
      </w:r>
      <w:r w:rsidR="00206E5C">
        <w:rPr>
          <w:rFonts w:cstheme="majorBidi"/>
          <w:bCs/>
          <w:color w:val="auto"/>
          <w:sz w:val="18"/>
          <w:szCs w:val="18"/>
        </w:rPr>
        <w:t xml:space="preserve">a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disc diffusion test, and surface detail reproduction was done using (ISO 21563:2021). One-way ANOVA and independent sample </w:t>
      </w:r>
      <w:r w:rsidR="00206E5C">
        <w:rPr>
          <w:rFonts w:cstheme="majorBidi"/>
          <w:bCs/>
          <w:color w:val="auto"/>
          <w:sz w:val="18"/>
          <w:szCs w:val="18"/>
        </w:rPr>
        <w:t>t-test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were used for data analysis through SPSS software. Results: for </w:t>
      </w:r>
      <w:r w:rsidR="00206E5C">
        <w:rPr>
          <w:rFonts w:cstheme="majorBidi"/>
          <w:bCs/>
          <w:color w:val="auto"/>
          <w:sz w:val="18"/>
          <w:szCs w:val="18"/>
        </w:rPr>
        <w:t xml:space="preserve">the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antimicrobial test, inhibition zones for </w:t>
      </w:r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 xml:space="preserve">Streptococcus </w:t>
      </w:r>
      <w:proofErr w:type="spellStart"/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>mutans</w:t>
      </w:r>
      <w:proofErr w:type="spellEnd"/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 xml:space="preserve"> </w:t>
      </w:r>
      <w:r w:rsidR="00753DCD" w:rsidRPr="003116B5">
        <w:rPr>
          <w:rFonts w:cstheme="majorBidi"/>
          <w:bCs/>
          <w:color w:val="auto"/>
          <w:sz w:val="18"/>
          <w:szCs w:val="18"/>
        </w:rPr>
        <w:t>and</w:t>
      </w:r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 xml:space="preserve"> Candida albicans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showed significant changes </w:t>
      </w:r>
      <w:r w:rsidR="00071368">
        <w:rPr>
          <w:rFonts w:cstheme="majorBidi"/>
          <w:bCs/>
          <w:color w:val="auto"/>
          <w:sz w:val="18"/>
          <w:szCs w:val="18"/>
        </w:rPr>
        <w:t>concerning the alteration in Titanium dioxide nanoparticle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concentrations</w:t>
      </w:r>
      <w:r w:rsidR="003116B5">
        <w:rPr>
          <w:rFonts w:cstheme="majorBidi"/>
          <w:bCs/>
          <w:color w:val="auto"/>
          <w:sz w:val="18"/>
          <w:szCs w:val="18"/>
        </w:rPr>
        <w:t>. The inhibition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zone significantly increased with </w:t>
      </w:r>
      <w:r w:rsidR="003116B5">
        <w:rPr>
          <w:rFonts w:cstheme="majorBidi"/>
          <w:bCs/>
          <w:color w:val="auto"/>
          <w:sz w:val="18"/>
          <w:szCs w:val="18"/>
        </w:rPr>
        <w:t xml:space="preserve">an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increase in </w:t>
      </w:r>
      <w:r w:rsidR="003116B5">
        <w:rPr>
          <w:rFonts w:cstheme="majorBidi"/>
          <w:bCs/>
          <w:color w:val="auto"/>
          <w:sz w:val="18"/>
          <w:szCs w:val="18"/>
        </w:rPr>
        <w:t xml:space="preserve">the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percentage of </w:t>
      </w:r>
      <w:r w:rsidR="003C1264" w:rsidRPr="004F103F">
        <w:rPr>
          <w:rFonts w:cstheme="majorBidi"/>
          <w:bCs/>
          <w:sz w:val="18"/>
          <w:szCs w:val="18"/>
        </w:rPr>
        <w:t>T</w:t>
      </w:r>
      <w:r w:rsidR="003C1264">
        <w:rPr>
          <w:rFonts w:cstheme="majorBidi"/>
          <w:bCs/>
          <w:sz w:val="18"/>
          <w:szCs w:val="18"/>
        </w:rPr>
        <w:t>itanium dioxide nanoparticle</w:t>
      </w:r>
      <w:r w:rsidR="003C1264" w:rsidRPr="004F103F">
        <w:rPr>
          <w:rFonts w:cstheme="majorBidi"/>
          <w:bCs/>
          <w:sz w:val="18"/>
          <w:szCs w:val="18"/>
        </w:rPr>
        <w:t>s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. The mean of </w:t>
      </w:r>
      <w:r w:rsidR="003116B5">
        <w:rPr>
          <w:rFonts w:cstheme="majorBidi"/>
          <w:bCs/>
          <w:color w:val="auto"/>
          <w:sz w:val="18"/>
          <w:szCs w:val="18"/>
        </w:rPr>
        <w:t xml:space="preserve">the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inhibition zone for </w:t>
      </w:r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 xml:space="preserve">S. </w:t>
      </w:r>
      <w:proofErr w:type="spellStart"/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>mutans</w:t>
      </w:r>
      <w:proofErr w:type="spellEnd"/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 xml:space="preserve">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was </w:t>
      </w:r>
      <w:r w:rsidR="00806FDB" w:rsidRPr="004F103F">
        <w:rPr>
          <w:rFonts w:cstheme="majorBidi"/>
          <w:bCs/>
          <w:color w:val="auto"/>
          <w:sz w:val="18"/>
          <w:szCs w:val="18"/>
        </w:rPr>
        <w:t>superior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</w:t>
      </w:r>
      <w:r w:rsidR="00806FDB">
        <w:rPr>
          <w:rFonts w:cstheme="majorBidi"/>
          <w:bCs/>
          <w:color w:val="auto"/>
          <w:sz w:val="18"/>
          <w:szCs w:val="18"/>
        </w:rPr>
        <w:t>to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</w:t>
      </w:r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>C. albicans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and the difference was statistically significant</w:t>
      </w:r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>.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Regarding surface detail reproduction, the control group, 2% and 3% groups manifested very similar results, only the group to which 5% of</w:t>
      </w:r>
      <w:r w:rsidR="003C1264" w:rsidRPr="003C1264">
        <w:rPr>
          <w:rFonts w:cstheme="majorBidi"/>
          <w:bCs/>
          <w:sz w:val="18"/>
          <w:szCs w:val="18"/>
        </w:rPr>
        <w:t xml:space="preserve"> </w:t>
      </w:r>
      <w:r w:rsidR="003C1264" w:rsidRPr="004F103F">
        <w:rPr>
          <w:rFonts w:cstheme="majorBidi"/>
          <w:bCs/>
          <w:sz w:val="18"/>
          <w:szCs w:val="18"/>
        </w:rPr>
        <w:t>T</w:t>
      </w:r>
      <w:r w:rsidR="003C1264">
        <w:rPr>
          <w:rFonts w:cstheme="majorBidi"/>
          <w:bCs/>
          <w:sz w:val="18"/>
          <w:szCs w:val="18"/>
        </w:rPr>
        <w:t>itanium dioxide nanoparticle</w:t>
      </w:r>
      <w:r w:rsidR="003C1264" w:rsidRPr="004F103F">
        <w:rPr>
          <w:rFonts w:cstheme="majorBidi"/>
          <w:bCs/>
          <w:sz w:val="18"/>
          <w:szCs w:val="18"/>
        </w:rPr>
        <w:t>s</w:t>
      </w:r>
      <w:r w:rsidR="003C1264">
        <w:rPr>
          <w:rFonts w:cstheme="majorBidi"/>
          <w:bCs/>
          <w:sz w:val="18"/>
          <w:szCs w:val="18"/>
        </w:rPr>
        <w:t xml:space="preserve">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were added showed a </w:t>
      </w:r>
      <w:r w:rsidR="00071368" w:rsidRPr="004F103F">
        <w:rPr>
          <w:rFonts w:cstheme="majorBidi"/>
          <w:bCs/>
          <w:color w:val="auto"/>
          <w:sz w:val="18"/>
          <w:szCs w:val="18"/>
        </w:rPr>
        <w:t>decline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</w:t>
      </w:r>
      <w:r w:rsidR="00071368">
        <w:rPr>
          <w:rFonts w:cstheme="majorBidi"/>
          <w:bCs/>
          <w:color w:val="auto"/>
          <w:sz w:val="18"/>
          <w:szCs w:val="18"/>
        </w:rPr>
        <w:t>in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detail reproduction when compared to </w:t>
      </w:r>
      <w:r w:rsidR="00071368">
        <w:rPr>
          <w:rFonts w:cstheme="majorBidi"/>
          <w:bCs/>
          <w:color w:val="auto"/>
          <w:sz w:val="18"/>
          <w:szCs w:val="18"/>
        </w:rPr>
        <w:t xml:space="preserve">the </w:t>
      </w:r>
      <w:r w:rsidR="00753DCD" w:rsidRPr="004F103F">
        <w:rPr>
          <w:rFonts w:cstheme="majorBidi"/>
          <w:bCs/>
          <w:color w:val="auto"/>
          <w:sz w:val="18"/>
          <w:szCs w:val="18"/>
        </w:rPr>
        <w:t>other three groups.</w:t>
      </w:r>
      <w:r w:rsidR="00071368">
        <w:rPr>
          <w:rFonts w:cstheme="majorBidi"/>
          <w:bCs/>
          <w:color w:val="auto"/>
          <w:sz w:val="18"/>
          <w:szCs w:val="18"/>
        </w:rPr>
        <w:t xml:space="preserve">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Conclusion: Within the limitation of this study, we can conclude that the antimicrobial activity against </w:t>
      </w:r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 xml:space="preserve">S </w:t>
      </w:r>
      <w:proofErr w:type="spellStart"/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>mutans</w:t>
      </w:r>
      <w:proofErr w:type="spellEnd"/>
      <w:r w:rsidR="00753DCD" w:rsidRPr="004F103F">
        <w:rPr>
          <w:rFonts w:cstheme="majorBidi"/>
          <w:bCs/>
          <w:color w:val="auto"/>
          <w:sz w:val="18"/>
          <w:szCs w:val="18"/>
        </w:rPr>
        <w:t xml:space="preserve"> and </w:t>
      </w:r>
      <w:r w:rsidR="00753DCD" w:rsidRPr="004F103F">
        <w:rPr>
          <w:rFonts w:cstheme="majorBidi"/>
          <w:bCs/>
          <w:i/>
          <w:iCs/>
          <w:color w:val="auto"/>
          <w:sz w:val="18"/>
          <w:szCs w:val="18"/>
        </w:rPr>
        <w:t xml:space="preserve">C. albicans 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were significantly increased in modified groups, and this </w:t>
      </w:r>
      <w:r w:rsidR="00DF6D85" w:rsidRPr="004F103F">
        <w:rPr>
          <w:rFonts w:cstheme="majorBidi"/>
          <w:bCs/>
          <w:color w:val="auto"/>
          <w:sz w:val="18"/>
          <w:szCs w:val="18"/>
        </w:rPr>
        <w:t>escalation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was directly linked to the increase in </w:t>
      </w:r>
      <w:r w:rsidR="003C1264" w:rsidRPr="004F103F">
        <w:rPr>
          <w:rFonts w:cstheme="majorBidi"/>
          <w:bCs/>
          <w:sz w:val="18"/>
          <w:szCs w:val="18"/>
        </w:rPr>
        <w:t>T</w:t>
      </w:r>
      <w:r w:rsidR="003C1264">
        <w:rPr>
          <w:rFonts w:cstheme="majorBidi"/>
          <w:bCs/>
          <w:sz w:val="18"/>
          <w:szCs w:val="18"/>
        </w:rPr>
        <w:t>itanium dioxide nanoparticle</w:t>
      </w:r>
      <w:r w:rsidR="003C1264" w:rsidRPr="004F103F">
        <w:rPr>
          <w:rFonts w:cstheme="majorBidi"/>
          <w:bCs/>
          <w:sz w:val="18"/>
          <w:szCs w:val="18"/>
        </w:rPr>
        <w:t>s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concentration. In contrast, the surface detail reproduction was decreased when adding 5% </w:t>
      </w:r>
      <w:r w:rsidR="003C1264" w:rsidRPr="004F103F">
        <w:rPr>
          <w:rFonts w:cstheme="majorBidi"/>
          <w:bCs/>
          <w:sz w:val="18"/>
          <w:szCs w:val="18"/>
        </w:rPr>
        <w:t>T</w:t>
      </w:r>
      <w:r w:rsidR="003C1264">
        <w:rPr>
          <w:rFonts w:cstheme="majorBidi"/>
          <w:bCs/>
          <w:sz w:val="18"/>
          <w:szCs w:val="18"/>
        </w:rPr>
        <w:t>itanium dioxide nanoparticle</w:t>
      </w:r>
      <w:r w:rsidR="003C1264" w:rsidRPr="004F103F">
        <w:rPr>
          <w:rFonts w:cstheme="majorBidi"/>
          <w:bCs/>
          <w:sz w:val="18"/>
          <w:szCs w:val="18"/>
        </w:rPr>
        <w:t>s</w:t>
      </w:r>
      <w:r w:rsidR="00753DCD" w:rsidRPr="004F103F">
        <w:rPr>
          <w:rFonts w:cstheme="majorBidi"/>
          <w:bCs/>
          <w:color w:val="auto"/>
          <w:sz w:val="18"/>
          <w:szCs w:val="18"/>
        </w:rPr>
        <w:t xml:space="preserve"> to alginate.</w:t>
      </w:r>
    </w:p>
    <w:p w14:paraId="5F1FA24F" w14:textId="4D3C0CD1" w:rsidR="00EA6902" w:rsidRPr="008126F3" w:rsidRDefault="00EA6902" w:rsidP="00F10117">
      <w:pPr>
        <w:pStyle w:val="MDPI17abstract"/>
        <w:tabs>
          <w:tab w:val="left" w:pos="9900"/>
        </w:tabs>
        <w:ind w:left="14790" w:hanging="11750"/>
        <w:rPr>
          <w:rFonts w:eastAsia="MyriadPro-Regular"/>
          <w:i/>
          <w:iCs/>
          <w:szCs w:val="18"/>
        </w:rPr>
      </w:pPr>
      <w:r w:rsidRPr="00004DCE">
        <w:rPr>
          <w:b/>
          <w:szCs w:val="18"/>
          <w:lang w:val="en-GB"/>
        </w:rPr>
        <w:t xml:space="preserve">Keywords: </w:t>
      </w:r>
      <w:r w:rsidR="008277C2">
        <w:rPr>
          <w:rFonts w:eastAsia="MyriadPro-Regular"/>
          <w:i/>
          <w:iCs/>
          <w:szCs w:val="18"/>
          <w:lang w:val="en-GB"/>
        </w:rPr>
        <w:t>alginate</w:t>
      </w:r>
      <w:r w:rsidR="00F10117" w:rsidRPr="00F10117">
        <w:rPr>
          <w:rFonts w:eastAsia="MyriadPro-Regular"/>
          <w:i/>
          <w:iCs/>
          <w:szCs w:val="18"/>
          <w:lang w:val="en-GB"/>
        </w:rPr>
        <w:t>, s</w:t>
      </w:r>
      <w:r w:rsidR="008277C2">
        <w:rPr>
          <w:rFonts w:eastAsia="MyriadPro-Regular"/>
          <w:i/>
          <w:iCs/>
          <w:szCs w:val="18"/>
          <w:lang w:val="en-GB"/>
        </w:rPr>
        <w:t>urface detail</w:t>
      </w:r>
      <w:r w:rsidR="00F10117" w:rsidRPr="00F10117">
        <w:rPr>
          <w:rFonts w:eastAsia="MyriadPro-Regular"/>
          <w:i/>
          <w:iCs/>
          <w:szCs w:val="18"/>
          <w:lang w:val="en-GB"/>
        </w:rPr>
        <w:t xml:space="preserve">, </w:t>
      </w:r>
      <w:r w:rsidR="008277C2">
        <w:rPr>
          <w:rFonts w:eastAsia="MyriadPro-Regular"/>
          <w:i/>
          <w:iCs/>
          <w:szCs w:val="18"/>
          <w:lang w:val="en-GB"/>
        </w:rPr>
        <w:t>nanoparticle</w:t>
      </w:r>
      <w:r w:rsidR="00F10117" w:rsidRPr="00F10117">
        <w:rPr>
          <w:rFonts w:eastAsia="MyriadPro-Regular"/>
          <w:i/>
          <w:iCs/>
          <w:szCs w:val="18"/>
          <w:lang w:val="en-GB"/>
        </w:rPr>
        <w:t xml:space="preserve">, </w:t>
      </w:r>
      <w:r w:rsidR="008277C2">
        <w:rPr>
          <w:rFonts w:eastAsia="MyriadPro-Regular"/>
          <w:i/>
          <w:iCs/>
          <w:szCs w:val="18"/>
          <w:lang w:val="en-GB"/>
        </w:rPr>
        <w:t>candida albicans</w:t>
      </w:r>
      <w:r w:rsidR="008126F3" w:rsidRPr="008126F3">
        <w:rPr>
          <w:rFonts w:eastAsia="MyriadPro-Regular"/>
          <w:i/>
          <w:iCs/>
          <w:szCs w:val="18"/>
        </w:rPr>
        <w:t>.</w:t>
      </w:r>
    </w:p>
    <w:p w14:paraId="50522518" w14:textId="77777777" w:rsidR="00695834" w:rsidRPr="00A80457" w:rsidRDefault="00695834" w:rsidP="002169CF">
      <w:pPr>
        <w:pStyle w:val="MDPI19line"/>
        <w:ind w:left="2610" w:firstLine="0"/>
      </w:pPr>
    </w:p>
    <w:p w14:paraId="088980B3" w14:textId="38C98F9D" w:rsidR="00EA6902" w:rsidRDefault="003341B1" w:rsidP="00F76B54">
      <w:pPr>
        <w:spacing w:before="240" w:after="60"/>
        <w:ind w:firstLine="0"/>
        <w:rPr>
          <w:b/>
          <w:bCs/>
        </w:rPr>
      </w:pPr>
      <w:r w:rsidRPr="00B875CD">
        <w:rPr>
          <w:b/>
          <w:bCs/>
        </w:rPr>
        <w:t>Introduction</w:t>
      </w:r>
    </w:p>
    <w:p w14:paraId="798CA26D" w14:textId="002061A1" w:rsidR="00F6017E" w:rsidRPr="00AF6556" w:rsidRDefault="00932521" w:rsidP="00932521">
      <w:pPr>
        <w:spacing w:before="60" w:after="240" w:line="240" w:lineRule="auto"/>
        <w:ind w:firstLine="300"/>
        <w:rPr>
          <w:rFonts w:cstheme="majorBidi"/>
        </w:rPr>
      </w:pPr>
      <w:bookmarkStart w:id="1" w:name="_Hlk105087554"/>
      <w:r>
        <w:rPr>
          <w:rFonts w:cstheme="majorBidi"/>
        </w:rPr>
        <w:t xml:space="preserve">  </w:t>
      </w:r>
      <w:r w:rsidR="00F6017E" w:rsidRPr="00AF6556">
        <w:rPr>
          <w:rFonts w:cstheme="majorBidi"/>
        </w:rPr>
        <w:t>Dental impression is a negative replication of hard and soft tissues in the mouth from which a positive reproduction (dental cast) can be formed</w:t>
      </w:r>
      <w:r w:rsidR="00F6017E" w:rsidRPr="00AF6556">
        <w:rPr>
          <w:rFonts w:cstheme="majorBidi"/>
          <w:vertAlign w:val="superscript"/>
        </w:rPr>
        <w:t>1</w:t>
      </w:r>
      <w:r w:rsidR="00F6017E" w:rsidRPr="00AF6556">
        <w:rPr>
          <w:rFonts w:cstheme="majorBidi"/>
        </w:rPr>
        <w:t>.</w:t>
      </w:r>
    </w:p>
    <w:bookmarkEnd w:id="1"/>
    <w:p w14:paraId="2340216A" w14:textId="0CC6D198" w:rsidR="00F6017E" w:rsidRPr="00AF6556" w:rsidRDefault="00F6017E" w:rsidP="00362005">
      <w:pPr>
        <w:spacing w:before="60" w:after="240" w:line="240" w:lineRule="auto"/>
        <w:ind w:firstLine="0"/>
        <w:rPr>
          <w:rFonts w:cstheme="majorBidi"/>
        </w:rPr>
      </w:pPr>
      <w:r w:rsidRPr="00AF6556">
        <w:rPr>
          <w:rFonts w:cstheme="majorBidi"/>
        </w:rPr>
        <w:t>Alginate is a biomaterial from a family of irreversible hydrocolloid that has served dental practice for almost century</w:t>
      </w:r>
      <w:r w:rsidRPr="00AF6556">
        <w:rPr>
          <w:rFonts w:cstheme="majorBidi"/>
          <w:vertAlign w:val="superscript"/>
        </w:rPr>
        <w:t>2</w:t>
      </w:r>
      <w:r w:rsidRPr="00AF6556">
        <w:rPr>
          <w:rFonts w:cstheme="majorBidi"/>
        </w:rPr>
        <w:t>.They were the first elastic impression material to be used in dentistry that provided high detail even under the presence of undercuts</w:t>
      </w:r>
      <w:r w:rsidRPr="00AF6556">
        <w:rPr>
          <w:rFonts w:cstheme="majorBidi"/>
          <w:vertAlign w:val="superscript"/>
        </w:rPr>
        <w:t>3</w:t>
      </w:r>
      <w:r w:rsidRPr="00AF6556">
        <w:rPr>
          <w:rFonts w:cstheme="majorBidi"/>
        </w:rPr>
        <w:t xml:space="preserve">. Being economical, easy </w:t>
      </w:r>
      <w:r w:rsidR="00DF6D85">
        <w:rPr>
          <w:rFonts w:cstheme="majorBidi"/>
        </w:rPr>
        <w:t>to</w:t>
      </w:r>
      <w:r w:rsidRPr="00AF6556">
        <w:rPr>
          <w:rFonts w:cstheme="majorBidi"/>
        </w:rPr>
        <w:t xml:space="preserve"> </w:t>
      </w:r>
      <w:r w:rsidR="00DF6D85">
        <w:rPr>
          <w:rFonts w:cstheme="majorBidi"/>
        </w:rPr>
        <w:t>manipulate</w:t>
      </w:r>
      <w:r w:rsidRPr="00AF6556">
        <w:rPr>
          <w:rFonts w:cstheme="majorBidi"/>
        </w:rPr>
        <w:t xml:space="preserve">, </w:t>
      </w:r>
      <w:r w:rsidR="00DF6D85">
        <w:rPr>
          <w:rFonts w:cstheme="majorBidi"/>
        </w:rPr>
        <w:t xml:space="preserve">and </w:t>
      </w:r>
      <w:r w:rsidRPr="00AF6556">
        <w:rPr>
          <w:rFonts w:cstheme="majorBidi"/>
        </w:rPr>
        <w:t xml:space="preserve">better tolerance </w:t>
      </w:r>
      <w:r w:rsidRPr="00AF6556">
        <w:rPr>
          <w:rFonts w:cstheme="majorBidi"/>
        </w:rPr>
        <w:lastRenderedPageBreak/>
        <w:t xml:space="preserve">by the patient has put alginate in </w:t>
      </w:r>
      <w:r w:rsidR="00DF6D85">
        <w:rPr>
          <w:rFonts w:cstheme="majorBidi"/>
        </w:rPr>
        <w:t xml:space="preserve">the </w:t>
      </w:r>
      <w:r w:rsidR="00DF6D85" w:rsidRPr="00AF6556">
        <w:rPr>
          <w:rFonts w:cstheme="majorBidi"/>
        </w:rPr>
        <w:t xml:space="preserve">utmost </w:t>
      </w:r>
      <w:r w:rsidR="00DF6D85">
        <w:rPr>
          <w:rFonts w:cstheme="majorBidi"/>
        </w:rPr>
        <w:t>utilized</w:t>
      </w:r>
      <w:r w:rsidRPr="00AF6556">
        <w:rPr>
          <w:rFonts w:cstheme="majorBidi"/>
        </w:rPr>
        <w:t xml:space="preserve"> material in </w:t>
      </w:r>
      <w:r w:rsidR="00DF6D85">
        <w:rPr>
          <w:rFonts w:cstheme="majorBidi"/>
        </w:rPr>
        <w:t xml:space="preserve">the </w:t>
      </w:r>
      <w:r w:rsidRPr="00AF6556">
        <w:rPr>
          <w:rFonts w:cstheme="majorBidi"/>
        </w:rPr>
        <w:t xml:space="preserve">field of dentistry in contrast to other impression </w:t>
      </w:r>
      <w:r w:rsidR="00DF6D85">
        <w:rPr>
          <w:rFonts w:cstheme="majorBidi"/>
        </w:rPr>
        <w:t>materials</w:t>
      </w:r>
      <w:r w:rsidRPr="00AF6556">
        <w:rPr>
          <w:rFonts w:cstheme="majorBidi"/>
        </w:rPr>
        <w:t xml:space="preserve"> such as silicon</w:t>
      </w:r>
      <w:r w:rsidRPr="00AF6556">
        <w:rPr>
          <w:rFonts w:cstheme="majorBidi"/>
          <w:vertAlign w:val="superscript"/>
        </w:rPr>
        <w:t>4</w:t>
      </w:r>
      <w:r w:rsidRPr="00AF6556">
        <w:rPr>
          <w:rFonts w:cstheme="majorBidi"/>
        </w:rPr>
        <w:t>.</w:t>
      </w:r>
    </w:p>
    <w:p w14:paraId="6E4EB60C" w14:textId="1B992B4E" w:rsidR="00F6017E" w:rsidRPr="00AF6556" w:rsidRDefault="00F6017E" w:rsidP="00362005">
      <w:pPr>
        <w:spacing w:before="60" w:after="240" w:line="240" w:lineRule="auto"/>
        <w:ind w:firstLine="0"/>
        <w:rPr>
          <w:rFonts w:cstheme="majorBidi"/>
        </w:rPr>
      </w:pPr>
      <w:r w:rsidRPr="00AF6556">
        <w:rPr>
          <w:rFonts w:cstheme="majorBidi"/>
        </w:rPr>
        <w:t>All types of irreversible hydrocolloids have a hydrophilic nature making them susceptible to microbial retention</w:t>
      </w:r>
      <w:r w:rsidRPr="00AF6556">
        <w:rPr>
          <w:rFonts w:cstheme="majorBidi"/>
          <w:vertAlign w:val="superscript"/>
        </w:rPr>
        <w:t>5</w:t>
      </w:r>
      <w:r w:rsidRPr="00AF6556">
        <w:rPr>
          <w:rFonts w:cstheme="majorBidi"/>
        </w:rPr>
        <w:t>.</w:t>
      </w:r>
      <w:r w:rsidR="004F50A4">
        <w:rPr>
          <w:rFonts w:cstheme="majorBidi"/>
        </w:rPr>
        <w:t xml:space="preserve"> It is a</w:t>
      </w:r>
      <w:r w:rsidRPr="00AF6556">
        <w:rPr>
          <w:rFonts w:cstheme="majorBidi"/>
        </w:rPr>
        <w:t xml:space="preserve"> well-known fact that </w:t>
      </w:r>
      <w:r w:rsidR="004F50A4">
        <w:rPr>
          <w:rFonts w:cstheme="majorBidi"/>
        </w:rPr>
        <w:t xml:space="preserve">the </w:t>
      </w:r>
      <w:r w:rsidRPr="00AF6556">
        <w:rPr>
          <w:rFonts w:cstheme="majorBidi"/>
        </w:rPr>
        <w:t xml:space="preserve">human oral cavity is a </w:t>
      </w:r>
      <w:r w:rsidR="00DF6D85">
        <w:rPr>
          <w:rFonts w:cstheme="majorBidi"/>
        </w:rPr>
        <w:t>favourable</w:t>
      </w:r>
      <w:r w:rsidRPr="00AF6556">
        <w:rPr>
          <w:rFonts w:cstheme="majorBidi"/>
        </w:rPr>
        <w:t xml:space="preserve"> host to many microbial agents, during the </w:t>
      </w:r>
      <w:r w:rsidR="00DF6D85">
        <w:rPr>
          <w:rFonts w:cstheme="majorBidi"/>
        </w:rPr>
        <w:t>impression-making</w:t>
      </w:r>
      <w:r w:rsidRPr="00AF6556">
        <w:rPr>
          <w:rFonts w:cstheme="majorBidi"/>
        </w:rPr>
        <w:t xml:space="preserve"> procedure the oral cavity fluid could adhere to the impression materials</w:t>
      </w:r>
      <w:r w:rsidRPr="00AF6556">
        <w:rPr>
          <w:rFonts w:cstheme="majorBidi"/>
          <w:vertAlign w:val="superscript"/>
        </w:rPr>
        <w:t>6</w:t>
      </w:r>
      <w:r w:rsidRPr="00AF6556">
        <w:rPr>
          <w:rFonts w:cstheme="majorBidi"/>
        </w:rPr>
        <w:t>.</w:t>
      </w:r>
      <w:r w:rsidR="00DF6D85">
        <w:rPr>
          <w:rFonts w:cstheme="majorBidi"/>
        </w:rPr>
        <w:t xml:space="preserve"> </w:t>
      </w:r>
      <w:r w:rsidRPr="00AF6556">
        <w:rPr>
          <w:rFonts w:cstheme="majorBidi"/>
        </w:rPr>
        <w:t xml:space="preserve">Therefore, they may increase </w:t>
      </w:r>
      <w:r w:rsidR="008F274D">
        <w:rPr>
          <w:rFonts w:cstheme="majorBidi"/>
        </w:rPr>
        <w:t xml:space="preserve">the susceptibility </w:t>
      </w:r>
      <w:r w:rsidRPr="00AF6556">
        <w:rPr>
          <w:rFonts w:cstheme="majorBidi"/>
        </w:rPr>
        <w:t>of cross infection</w:t>
      </w:r>
      <w:r w:rsidRPr="00AF6556">
        <w:rPr>
          <w:rFonts w:cstheme="majorBidi"/>
          <w:vertAlign w:val="superscript"/>
        </w:rPr>
        <w:t>7</w:t>
      </w:r>
      <w:r w:rsidRPr="00AF6556">
        <w:rPr>
          <w:rFonts w:cstheme="majorBidi"/>
        </w:rPr>
        <w:t xml:space="preserve">. To overcome this point, many disinfection methods have been used such as spraying and immersing. Unfortunately, both methods are </w:t>
      </w:r>
      <w:r w:rsidR="008F274D">
        <w:rPr>
          <w:rFonts w:cstheme="majorBidi"/>
        </w:rPr>
        <w:t>time-consuming</w:t>
      </w:r>
      <w:r w:rsidRPr="00AF6556">
        <w:rPr>
          <w:rFonts w:cstheme="majorBidi"/>
        </w:rPr>
        <w:t xml:space="preserve"> and may compromise some of the mechanical properties of the alginate</w:t>
      </w:r>
      <w:r w:rsidRPr="00AF6556">
        <w:rPr>
          <w:rFonts w:cstheme="majorBidi"/>
          <w:vertAlign w:val="superscript"/>
        </w:rPr>
        <w:t>8</w:t>
      </w:r>
      <w:r w:rsidRPr="00AF6556">
        <w:rPr>
          <w:rFonts w:cstheme="majorBidi"/>
        </w:rPr>
        <w:t xml:space="preserve">. </w:t>
      </w:r>
    </w:p>
    <w:p w14:paraId="5CAAE2B1" w14:textId="704C1212" w:rsidR="00F6017E" w:rsidRPr="00AF6556" w:rsidRDefault="00F6017E" w:rsidP="00362005">
      <w:pPr>
        <w:spacing w:before="60" w:after="240" w:line="240" w:lineRule="auto"/>
        <w:ind w:firstLine="0"/>
        <w:rPr>
          <w:rFonts w:cstheme="majorBidi"/>
        </w:rPr>
      </w:pPr>
      <w:r w:rsidRPr="00AF6556">
        <w:rPr>
          <w:rFonts w:cstheme="majorBidi"/>
        </w:rPr>
        <w:t xml:space="preserve">During the last decade, the use of nanoparticles has become </w:t>
      </w:r>
      <w:r w:rsidR="008F274D">
        <w:rPr>
          <w:rFonts w:cstheme="majorBidi"/>
        </w:rPr>
        <w:t>prevalent</w:t>
      </w:r>
      <w:r w:rsidRPr="00AF6556">
        <w:rPr>
          <w:rFonts w:cstheme="majorBidi"/>
        </w:rPr>
        <w:t xml:space="preserve"> in the design and development of many dental </w:t>
      </w:r>
      <w:r w:rsidR="008F274D" w:rsidRPr="00AF6556">
        <w:rPr>
          <w:rFonts w:cstheme="majorBidi"/>
        </w:rPr>
        <w:t>materials since</w:t>
      </w:r>
      <w:r w:rsidRPr="00AF6556">
        <w:rPr>
          <w:rFonts w:cstheme="majorBidi"/>
        </w:rPr>
        <w:t xml:space="preserve"> they can provide a unique combination of properties</w:t>
      </w:r>
      <w:r w:rsidRPr="00AF6556">
        <w:rPr>
          <w:rFonts w:cstheme="majorBidi"/>
          <w:vertAlign w:val="superscript"/>
        </w:rPr>
        <w:t>9</w:t>
      </w:r>
      <w:r w:rsidRPr="00AF6556">
        <w:rPr>
          <w:rFonts w:cstheme="majorBidi"/>
        </w:rPr>
        <w:t>. D</w:t>
      </w:r>
      <w:r w:rsidRPr="00AF6556">
        <w:rPr>
          <w:rFonts w:eastAsia="AdvTimes" w:cstheme="majorBidi"/>
        </w:rPr>
        <w:t>ue to the small size of the nanoparticles</w:t>
      </w:r>
      <w:r w:rsidR="008F274D">
        <w:rPr>
          <w:rFonts w:eastAsia="AdvTimes" w:cstheme="majorBidi"/>
        </w:rPr>
        <w:t>,</w:t>
      </w:r>
      <w:r w:rsidRPr="00AF6556">
        <w:rPr>
          <w:rFonts w:eastAsia="AdvTimes" w:cstheme="majorBidi"/>
        </w:rPr>
        <w:t xml:space="preserve"> they can provide </w:t>
      </w:r>
      <w:r w:rsidR="008F274D">
        <w:rPr>
          <w:rFonts w:eastAsia="AdvTimes" w:cstheme="majorBidi"/>
        </w:rPr>
        <w:t xml:space="preserve">a </w:t>
      </w:r>
      <w:r w:rsidRPr="00AF6556">
        <w:rPr>
          <w:rFonts w:eastAsia="AdvTimes" w:cstheme="majorBidi"/>
        </w:rPr>
        <w:t>high surface area to volume ratio compared to particles of the same material</w:t>
      </w:r>
      <w:r w:rsidRPr="00AF6556">
        <w:rPr>
          <w:rFonts w:eastAsia="AdvTimes" w:cstheme="majorBidi"/>
          <w:vertAlign w:val="superscript"/>
        </w:rPr>
        <w:t>10</w:t>
      </w:r>
      <w:r w:rsidRPr="00AF6556">
        <w:rPr>
          <w:rFonts w:cstheme="majorBidi"/>
        </w:rPr>
        <w:t xml:space="preserve">. </w:t>
      </w:r>
      <w:r w:rsidR="004F50A4">
        <w:rPr>
          <w:rFonts w:eastAsia="AdvTimes" w:cstheme="majorBidi"/>
        </w:rPr>
        <w:t>T</w:t>
      </w:r>
      <w:r w:rsidRPr="00AF6556">
        <w:rPr>
          <w:rFonts w:eastAsia="AdvTimes" w:cstheme="majorBidi"/>
        </w:rPr>
        <w:t xml:space="preserve">his </w:t>
      </w:r>
      <w:r w:rsidR="004F50A4">
        <w:rPr>
          <w:rFonts w:eastAsia="AdvTimes" w:cstheme="majorBidi"/>
        </w:rPr>
        <w:t>property gives</w:t>
      </w:r>
      <w:r w:rsidRPr="00AF6556">
        <w:rPr>
          <w:rFonts w:eastAsia="AdvTimes" w:cstheme="majorBidi"/>
        </w:rPr>
        <w:t xml:space="preserve"> them great attention in the present century as they possess defined </w:t>
      </w:r>
      <w:r w:rsidRPr="00AF6556">
        <w:rPr>
          <w:rFonts w:cstheme="majorBidi"/>
        </w:rPr>
        <w:t xml:space="preserve">mechanical, </w:t>
      </w:r>
      <w:r w:rsidR="00464E4A" w:rsidRPr="00AF6556">
        <w:rPr>
          <w:rFonts w:cstheme="majorBidi"/>
        </w:rPr>
        <w:t>chemical,</w:t>
      </w:r>
      <w:r w:rsidRPr="00AF6556">
        <w:rPr>
          <w:rFonts w:cstheme="majorBidi"/>
        </w:rPr>
        <w:t xml:space="preserve"> and optical properties </w:t>
      </w:r>
      <w:r w:rsidR="00464E4A" w:rsidRPr="00AF6556">
        <w:rPr>
          <w:rFonts w:cstheme="majorBidi"/>
        </w:rPr>
        <w:t>crafting</w:t>
      </w:r>
      <w:r w:rsidRPr="00AF6556">
        <w:rPr>
          <w:rFonts w:cstheme="majorBidi"/>
        </w:rPr>
        <w:t xml:space="preserve"> them </w:t>
      </w:r>
      <w:r w:rsidR="00464E4A">
        <w:rPr>
          <w:rFonts w:cstheme="majorBidi"/>
        </w:rPr>
        <w:t xml:space="preserve">into a </w:t>
      </w:r>
      <w:r w:rsidRPr="00AF6556">
        <w:rPr>
          <w:rFonts w:cstheme="majorBidi"/>
        </w:rPr>
        <w:t xml:space="preserve">suitable candidate for </w:t>
      </w:r>
      <w:r w:rsidRPr="00AF6556">
        <w:rPr>
          <w:rFonts w:eastAsia="AdvTimes" w:cstheme="majorBidi"/>
        </w:rPr>
        <w:t>various applications</w:t>
      </w:r>
      <w:r w:rsidRPr="00AF6556">
        <w:rPr>
          <w:rFonts w:eastAsia="AdvTimes" w:cstheme="majorBidi"/>
          <w:vertAlign w:val="superscript"/>
        </w:rPr>
        <w:t>11</w:t>
      </w:r>
      <w:r w:rsidRPr="00AF6556">
        <w:rPr>
          <w:rFonts w:cstheme="majorBidi"/>
        </w:rPr>
        <w:t>.</w:t>
      </w:r>
    </w:p>
    <w:p w14:paraId="22C795B7" w14:textId="1D09F7BD" w:rsidR="00F6017E" w:rsidRPr="00AF6556" w:rsidRDefault="00F6017E" w:rsidP="00362005">
      <w:pPr>
        <w:spacing w:before="60" w:after="240" w:line="240" w:lineRule="auto"/>
        <w:ind w:firstLine="0"/>
        <w:rPr>
          <w:rFonts w:cstheme="majorBidi"/>
        </w:rPr>
      </w:pPr>
      <w:r w:rsidRPr="00AF6556">
        <w:rPr>
          <w:rFonts w:cstheme="majorBidi"/>
        </w:rPr>
        <w:t xml:space="preserve">Many studies proved that nanoparticles </w:t>
      </w:r>
      <w:r w:rsidR="00464E4A" w:rsidRPr="00AF6556">
        <w:rPr>
          <w:rFonts w:cstheme="majorBidi"/>
        </w:rPr>
        <w:t>could</w:t>
      </w:r>
      <w:r w:rsidRPr="00AF6556">
        <w:rPr>
          <w:rFonts w:cstheme="majorBidi"/>
        </w:rPr>
        <w:t xml:space="preserve"> control </w:t>
      </w:r>
      <w:r w:rsidR="00464E4A">
        <w:rPr>
          <w:rFonts w:cstheme="majorBidi"/>
        </w:rPr>
        <w:t xml:space="preserve">the </w:t>
      </w:r>
      <w:r w:rsidRPr="00AF6556">
        <w:rPr>
          <w:rFonts w:cstheme="majorBidi"/>
        </w:rPr>
        <w:t>formation of biofilms as they possess biocidal</w:t>
      </w:r>
      <w:r w:rsidR="00464E4A">
        <w:rPr>
          <w:rFonts w:cstheme="majorBidi"/>
        </w:rPr>
        <w:t xml:space="preserve"> and</w:t>
      </w:r>
      <w:r w:rsidRPr="00AF6556">
        <w:rPr>
          <w:rFonts w:cstheme="majorBidi"/>
        </w:rPr>
        <w:t xml:space="preserve"> anti-adhesive properties. For this purpose, silver, copper, zinc, magnesium, </w:t>
      </w:r>
      <w:r w:rsidR="00464E4A" w:rsidRPr="00AF6556">
        <w:rPr>
          <w:rFonts w:cstheme="majorBidi"/>
        </w:rPr>
        <w:t>titanium,</w:t>
      </w:r>
      <w:r w:rsidRPr="00AF6556">
        <w:rPr>
          <w:rFonts w:cstheme="majorBidi"/>
        </w:rPr>
        <w:t xml:space="preserve"> and their oxides have been used as antimicrobial </w:t>
      </w:r>
      <w:r w:rsidR="00464E4A">
        <w:rPr>
          <w:rFonts w:cstheme="majorBidi"/>
        </w:rPr>
        <w:t>agents</w:t>
      </w:r>
      <w:r w:rsidRPr="00AF6556">
        <w:rPr>
          <w:rFonts w:cstheme="majorBidi"/>
        </w:rPr>
        <w:t xml:space="preserve"> in many dental materials</w:t>
      </w:r>
      <w:r w:rsidRPr="00AF6556">
        <w:rPr>
          <w:rFonts w:cstheme="majorBidi"/>
          <w:vertAlign w:val="superscript"/>
        </w:rPr>
        <w:t>12</w:t>
      </w:r>
      <w:r w:rsidRPr="00AF6556">
        <w:rPr>
          <w:rFonts w:cstheme="majorBidi"/>
        </w:rPr>
        <w:t>.</w:t>
      </w:r>
    </w:p>
    <w:p w14:paraId="5DC75928" w14:textId="596A3926" w:rsidR="00F6017E" w:rsidRPr="00AF6556" w:rsidRDefault="00F6017E" w:rsidP="00362005">
      <w:pPr>
        <w:spacing w:before="60" w:after="240" w:line="240" w:lineRule="auto"/>
        <w:ind w:firstLine="0"/>
        <w:rPr>
          <w:rFonts w:cstheme="majorBidi"/>
        </w:rPr>
      </w:pPr>
      <w:r w:rsidRPr="00AF6556">
        <w:rPr>
          <w:rFonts w:cstheme="majorBidi"/>
        </w:rPr>
        <w:t>It was proven that TiO</w:t>
      </w:r>
      <w:r w:rsidR="00357FC2">
        <w:rPr>
          <w:rFonts w:cstheme="majorBidi"/>
          <w:vertAlign w:val="subscript"/>
        </w:rPr>
        <w:t xml:space="preserve">2 </w:t>
      </w:r>
      <w:r w:rsidRPr="00AF6556">
        <w:rPr>
          <w:rFonts w:cstheme="majorBidi"/>
        </w:rPr>
        <w:t xml:space="preserve">NPs possess good antibacterial activity against </w:t>
      </w:r>
      <w:r w:rsidRPr="00AF6556">
        <w:rPr>
          <w:rFonts w:cstheme="majorBidi"/>
          <w:i/>
          <w:iCs/>
        </w:rPr>
        <w:t>S. mutans</w:t>
      </w:r>
      <w:r w:rsidRPr="00AF6556">
        <w:rPr>
          <w:rFonts w:cstheme="majorBidi"/>
          <w:vertAlign w:val="superscript"/>
        </w:rPr>
        <w:t>13</w:t>
      </w:r>
      <w:r w:rsidRPr="00AF6556">
        <w:rPr>
          <w:rFonts w:cstheme="majorBidi"/>
        </w:rPr>
        <w:t>, without deteriorating the mechanical and physical properties</w:t>
      </w:r>
      <w:r w:rsidRPr="00AF6556">
        <w:rPr>
          <w:rFonts w:cstheme="majorBidi"/>
          <w:vertAlign w:val="superscript"/>
        </w:rPr>
        <w:t>13-15</w:t>
      </w:r>
      <w:r w:rsidRPr="00AF6556">
        <w:rPr>
          <w:rFonts w:cstheme="majorBidi"/>
        </w:rPr>
        <w:t>.</w:t>
      </w:r>
    </w:p>
    <w:p w14:paraId="0B2D1E94" w14:textId="424B37D7" w:rsidR="00F6017E" w:rsidRDefault="00F6017E" w:rsidP="00362005">
      <w:pPr>
        <w:spacing w:before="60" w:after="240" w:line="240" w:lineRule="auto"/>
        <w:ind w:firstLine="0"/>
        <w:rPr>
          <w:lang w:eastAsia="tr-TR"/>
        </w:rPr>
      </w:pPr>
      <w:r w:rsidRPr="00AF6556">
        <w:rPr>
          <w:rFonts w:cstheme="majorBidi"/>
        </w:rPr>
        <w:t xml:space="preserve">Due to their imperfect properties, alginate </w:t>
      </w:r>
      <w:r w:rsidR="00357FC2">
        <w:rPr>
          <w:rFonts w:cstheme="majorBidi"/>
        </w:rPr>
        <w:t>remains</w:t>
      </w:r>
      <w:r w:rsidRPr="00AF6556">
        <w:rPr>
          <w:rFonts w:cstheme="majorBidi"/>
        </w:rPr>
        <w:t xml:space="preserve"> an active material for research. The purpose of this study is therefore to evaluate the antimicrobial property of dental alginate i</w:t>
      </w:r>
      <w:r w:rsidR="008F70ED">
        <w:rPr>
          <w:rFonts w:cstheme="majorBidi"/>
        </w:rPr>
        <w:t>ncorporated</w:t>
      </w:r>
      <w:r w:rsidRPr="00AF6556">
        <w:rPr>
          <w:rFonts w:cstheme="majorBidi"/>
        </w:rPr>
        <w:t xml:space="preserve"> with TiO</w:t>
      </w:r>
      <w:r w:rsidRPr="00AF6556">
        <w:rPr>
          <w:rFonts w:cstheme="majorBidi"/>
          <w:vertAlign w:val="subscript"/>
        </w:rPr>
        <w:t>2</w:t>
      </w:r>
      <w:r w:rsidRPr="00AF6556">
        <w:rPr>
          <w:rFonts w:cstheme="majorBidi"/>
        </w:rPr>
        <w:t xml:space="preserve">NPs against </w:t>
      </w:r>
      <w:r w:rsidRPr="00AF6556">
        <w:rPr>
          <w:rFonts w:cstheme="majorBidi"/>
          <w:i/>
          <w:iCs/>
        </w:rPr>
        <w:t xml:space="preserve">S. </w:t>
      </w:r>
      <w:proofErr w:type="spellStart"/>
      <w:r w:rsidRPr="00AF6556">
        <w:rPr>
          <w:rFonts w:cstheme="majorBidi"/>
          <w:i/>
          <w:iCs/>
        </w:rPr>
        <w:t>mutans</w:t>
      </w:r>
      <w:proofErr w:type="spellEnd"/>
      <w:r w:rsidRPr="00AF6556">
        <w:rPr>
          <w:rFonts w:cstheme="majorBidi"/>
          <w:i/>
          <w:iCs/>
        </w:rPr>
        <w:t xml:space="preserve"> </w:t>
      </w:r>
      <w:r w:rsidRPr="00AF6556">
        <w:rPr>
          <w:rFonts w:cstheme="majorBidi"/>
        </w:rPr>
        <w:t xml:space="preserve">and </w:t>
      </w:r>
      <w:r w:rsidRPr="00AF6556">
        <w:rPr>
          <w:rFonts w:cstheme="majorBidi"/>
          <w:i/>
          <w:iCs/>
        </w:rPr>
        <w:t>C. albicans</w:t>
      </w:r>
      <w:r w:rsidRPr="00AF6556">
        <w:rPr>
          <w:rFonts w:cstheme="majorBidi"/>
        </w:rPr>
        <w:t>, in addition to the surface detail reproduction after this modification.</w:t>
      </w:r>
    </w:p>
    <w:p w14:paraId="4A7F827D" w14:textId="3A976416" w:rsidR="00075EE5" w:rsidRPr="00075EE5" w:rsidRDefault="004F103F" w:rsidP="00362005">
      <w:pPr>
        <w:spacing w:before="60" w:after="240" w:line="240" w:lineRule="auto"/>
        <w:ind w:firstLine="0"/>
        <w:rPr>
          <w:b/>
          <w:bCs/>
          <w:lang w:val="en-US"/>
        </w:rPr>
      </w:pPr>
      <w:r>
        <w:rPr>
          <w:b/>
          <w:bCs/>
          <w:lang w:val="en-US"/>
        </w:rPr>
        <w:t>M</w:t>
      </w:r>
      <w:r w:rsidR="00F6017E">
        <w:rPr>
          <w:b/>
          <w:bCs/>
          <w:lang w:val="en-US"/>
        </w:rPr>
        <w:t>aterial</w:t>
      </w:r>
      <w:r w:rsidR="00075EE5" w:rsidRPr="00075EE5">
        <w:rPr>
          <w:b/>
          <w:bCs/>
          <w:lang w:val="en-US"/>
        </w:rPr>
        <w:t>s and Methods</w:t>
      </w:r>
    </w:p>
    <w:p w14:paraId="4E0D475F" w14:textId="4EAB5BA1" w:rsidR="004445C3" w:rsidRPr="008D4A6C" w:rsidRDefault="000B5DC6" w:rsidP="000B5DC6">
      <w:pPr>
        <w:spacing w:before="60" w:after="240" w:line="240" w:lineRule="auto"/>
        <w:ind w:firstLine="300"/>
        <w:rPr>
          <w:rFonts w:cstheme="majorBidi"/>
        </w:rPr>
      </w:pPr>
      <w:r>
        <w:rPr>
          <w:rFonts w:cstheme="majorBidi"/>
        </w:rPr>
        <w:t xml:space="preserve"> </w:t>
      </w:r>
      <w:r w:rsidR="004445C3" w:rsidRPr="008D4A6C">
        <w:rPr>
          <w:rFonts w:cstheme="majorBidi"/>
        </w:rPr>
        <w:t>To confirm the identity of the planned TiO</w:t>
      </w:r>
      <w:r w:rsidR="004445C3" w:rsidRPr="008D4A6C">
        <w:rPr>
          <w:rFonts w:cstheme="majorBidi"/>
          <w:vertAlign w:val="subscript"/>
        </w:rPr>
        <w:t>2</w:t>
      </w:r>
      <w:r w:rsidR="004445C3" w:rsidRPr="008D4A6C">
        <w:rPr>
          <w:rFonts w:cstheme="majorBidi"/>
        </w:rPr>
        <w:t>NPs for use in this study, X-ray Diffraction (XRD) analysis was performed before starting sample preparations.</w:t>
      </w:r>
    </w:p>
    <w:p w14:paraId="6E77D4FC" w14:textId="31A7DA3B" w:rsidR="004445C3" w:rsidRPr="008D4A6C" w:rsidRDefault="004445C3" w:rsidP="00362005">
      <w:pPr>
        <w:spacing w:before="60" w:after="240" w:line="240" w:lineRule="auto"/>
        <w:ind w:firstLine="0"/>
        <w:rPr>
          <w:rFonts w:cstheme="majorBidi"/>
        </w:rPr>
      </w:pPr>
      <w:r w:rsidRPr="008D4A6C">
        <w:rPr>
          <w:rFonts w:cstheme="majorBidi"/>
        </w:rPr>
        <w:t>X-ray diffraction is a powerful non-destructive analytical method that is used to determine the structure and composition of unknown nanomaterials</w:t>
      </w:r>
      <w:r w:rsidRPr="008D4A6C">
        <w:rPr>
          <w:rFonts w:cstheme="majorBidi"/>
          <w:vertAlign w:val="superscript"/>
        </w:rPr>
        <w:t>1</w:t>
      </w:r>
      <w:r w:rsidR="00347723">
        <w:rPr>
          <w:rFonts w:cstheme="majorBidi"/>
          <w:vertAlign w:val="superscript"/>
        </w:rPr>
        <w:t>6,</w:t>
      </w:r>
      <w:r w:rsidRPr="008D4A6C">
        <w:rPr>
          <w:rFonts w:cstheme="majorBidi"/>
          <w:vertAlign w:val="superscript"/>
        </w:rPr>
        <w:t>17</w:t>
      </w:r>
      <w:r w:rsidRPr="008D4A6C">
        <w:rPr>
          <w:rFonts w:cstheme="majorBidi"/>
        </w:rPr>
        <w:t>.</w:t>
      </w:r>
    </w:p>
    <w:p w14:paraId="0632C0B6" w14:textId="53998972" w:rsidR="004445C3" w:rsidRDefault="004445C3" w:rsidP="00362005">
      <w:pPr>
        <w:spacing w:before="60" w:after="240" w:line="240" w:lineRule="auto"/>
        <w:ind w:firstLine="0"/>
        <w:rPr>
          <w:rFonts w:cstheme="majorBidi"/>
        </w:rPr>
      </w:pPr>
      <w:r w:rsidRPr="008D4A6C">
        <w:rPr>
          <w:rFonts w:cstheme="majorBidi"/>
        </w:rPr>
        <w:t xml:space="preserve">XRD test was performed using </w:t>
      </w:r>
      <w:proofErr w:type="spellStart"/>
      <w:r w:rsidRPr="008D4A6C">
        <w:rPr>
          <w:rFonts w:cstheme="majorBidi"/>
        </w:rPr>
        <w:t>PANalytical</w:t>
      </w:r>
      <w:proofErr w:type="spellEnd"/>
      <w:r w:rsidRPr="008D4A6C">
        <w:rPr>
          <w:rFonts w:cstheme="majorBidi"/>
        </w:rPr>
        <w:t xml:space="preserve"> </w:t>
      </w:r>
      <w:proofErr w:type="spellStart"/>
      <w:r w:rsidRPr="008D4A6C">
        <w:rPr>
          <w:rFonts w:cstheme="majorBidi"/>
        </w:rPr>
        <w:t>X’pert</w:t>
      </w:r>
      <w:proofErr w:type="spellEnd"/>
      <w:r w:rsidRPr="008D4A6C">
        <w:rPr>
          <w:rFonts w:cstheme="majorBidi"/>
        </w:rPr>
        <w:t xml:space="preserve"> powder (Figure 1.a) with Cu-Kα x-ray source, a wavelength of </w:t>
      </w:r>
      <w:r w:rsidRPr="008D4A6C">
        <w:rPr>
          <w:rFonts w:cstheme="majorBidi"/>
        </w:rPr>
        <w:sym w:font="Symbol" w:char="F06C"/>
      </w:r>
      <w:r w:rsidRPr="008D4A6C">
        <w:rPr>
          <w:rFonts w:cstheme="majorBidi"/>
        </w:rPr>
        <w:t>=1.54060</w:t>
      </w:r>
      <m:oMath>
        <m:acc>
          <m:accPr>
            <m:chr m:val="̇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A</m:t>
            </m:r>
          </m:e>
        </m:acc>
      </m:oMath>
      <w:r w:rsidRPr="008D4A6C">
        <w:rPr>
          <w:rFonts w:cstheme="majorBidi"/>
        </w:rPr>
        <w:t xml:space="preserve"> was used. The TiO</w:t>
      </w:r>
      <w:r w:rsidRPr="008D4A6C">
        <w:rPr>
          <w:rFonts w:cstheme="majorBidi"/>
          <w:vertAlign w:val="subscript"/>
        </w:rPr>
        <w:t>2</w:t>
      </w:r>
      <w:r w:rsidRPr="008D4A6C">
        <w:rPr>
          <w:rFonts w:cstheme="majorBidi"/>
        </w:rPr>
        <w:t xml:space="preserve">NPs </w:t>
      </w:r>
      <w:r w:rsidR="008E79B4">
        <w:rPr>
          <w:rFonts w:cstheme="majorBidi"/>
        </w:rPr>
        <w:t>were</w:t>
      </w:r>
      <w:r w:rsidRPr="008D4A6C">
        <w:rPr>
          <w:rFonts w:cstheme="majorBidi"/>
        </w:rPr>
        <w:t xml:space="preserve"> deposited on to the specimen holder (Figure 1. b) and packed using a glass slide. The NPs inside the sample holder </w:t>
      </w:r>
      <w:r w:rsidR="008E79B4">
        <w:rPr>
          <w:rFonts w:cstheme="majorBidi"/>
        </w:rPr>
        <w:t>were</w:t>
      </w:r>
      <w:r w:rsidRPr="008D4A6C">
        <w:rPr>
          <w:rFonts w:cstheme="majorBidi"/>
        </w:rPr>
        <w:t xml:space="preserve"> loaded into </w:t>
      </w:r>
      <w:r w:rsidR="008E79B4">
        <w:rPr>
          <w:rFonts w:cstheme="majorBidi"/>
        </w:rPr>
        <w:t xml:space="preserve">the </w:t>
      </w:r>
      <w:r w:rsidRPr="008D4A6C">
        <w:rPr>
          <w:rFonts w:cstheme="majorBidi"/>
        </w:rPr>
        <w:t>XRD machine and diffraction data was recorded at 2</w:t>
      </w:r>
      <w:r w:rsidRPr="008D4A6C">
        <w:rPr>
          <w:rFonts w:cstheme="majorBidi"/>
        </w:rPr>
        <w:sym w:font="Symbol" w:char="F071"/>
      </w:r>
      <w:r w:rsidRPr="008D4A6C">
        <w:rPr>
          <w:rFonts w:cstheme="majorBidi"/>
        </w:rPr>
        <w:t xml:space="preserve"> range from 10</w:t>
      </w:r>
      <w:r w:rsidRPr="008D4A6C">
        <w:rPr>
          <w:rFonts w:cstheme="majorBidi"/>
        </w:rPr>
        <w:sym w:font="Symbol" w:char="F0B0"/>
      </w:r>
      <w:r w:rsidRPr="008D4A6C">
        <w:rPr>
          <w:rFonts w:cstheme="majorBidi"/>
        </w:rPr>
        <w:t xml:space="preserve"> to 79.9950</w:t>
      </w:r>
      <w:r w:rsidRPr="008D4A6C">
        <w:rPr>
          <w:rFonts w:cstheme="majorBidi"/>
        </w:rPr>
        <w:sym w:font="Symbol" w:char="F0B0"/>
      </w:r>
      <w:r w:rsidRPr="008D4A6C">
        <w:rPr>
          <w:rFonts w:cstheme="majorBidi"/>
        </w:rPr>
        <w:t xml:space="preserve"> with step size 0.0100</w:t>
      </w:r>
      <w:r w:rsidRPr="008D4A6C">
        <w:rPr>
          <w:rFonts w:cstheme="majorBidi"/>
        </w:rPr>
        <w:sym w:font="Symbol" w:char="F0B0"/>
      </w:r>
      <w:r w:rsidRPr="008D4A6C">
        <w:rPr>
          <w:rFonts w:cstheme="majorBidi"/>
        </w:rPr>
        <w:t xml:space="preserve"> per 0.5s.  Low scan speed was elected to provide higher sensitivity for </w:t>
      </w:r>
      <w:r w:rsidR="008E79B4">
        <w:rPr>
          <w:rFonts w:cstheme="majorBidi"/>
        </w:rPr>
        <w:t xml:space="preserve">the </w:t>
      </w:r>
      <w:r w:rsidR="008E79B4" w:rsidRPr="008D4A6C">
        <w:rPr>
          <w:rFonts w:cstheme="majorBidi"/>
        </w:rPr>
        <w:t>recognition</w:t>
      </w:r>
      <w:r w:rsidRPr="008D4A6C">
        <w:rPr>
          <w:rFonts w:cstheme="majorBidi"/>
        </w:rPr>
        <w:t xml:space="preserve"> of impurities</w:t>
      </w:r>
      <w:r w:rsidRPr="008D4A6C">
        <w:rPr>
          <w:rFonts w:cstheme="majorBidi"/>
          <w:vertAlign w:val="superscript"/>
        </w:rPr>
        <w:t>18</w:t>
      </w:r>
      <w:r w:rsidRPr="008D4A6C">
        <w:rPr>
          <w:rFonts w:cstheme="majorBidi"/>
        </w:rPr>
        <w:t>.</w:t>
      </w:r>
    </w:p>
    <w:p w14:paraId="12DA58A0" w14:textId="465A0D6D" w:rsidR="004445C3" w:rsidRDefault="004445C3" w:rsidP="004445C3">
      <w:pPr>
        <w:spacing w:after="120" w:line="240" w:lineRule="auto"/>
        <w:rPr>
          <w:rFonts w:cstheme="majorBidi"/>
        </w:rPr>
      </w:pPr>
      <w:r>
        <w:rPr>
          <w:rFonts w:cstheme="majorBidi"/>
        </w:rPr>
        <w:lastRenderedPageBreak/>
        <w:t xml:space="preserve">        </w:t>
      </w:r>
      <w:r w:rsidRPr="004445C3">
        <w:rPr>
          <w:rFonts w:cstheme="majorBidi"/>
          <w:noProof/>
          <w:sz w:val="21"/>
          <w:szCs w:val="21"/>
          <w:lang w:val="en-US" w:eastAsia="en-US"/>
        </w:rPr>
        <w:drawing>
          <wp:inline distT="0" distB="0" distL="0" distR="0" wp14:anchorId="12F60653" wp14:editId="7DBAA382">
            <wp:extent cx="2039620" cy="2865446"/>
            <wp:effectExtent l="0" t="0" r="0" b="0"/>
            <wp:docPr id="1" name="Picture 1" descr="E:\manuscript 2.anti and dimensional\viber_image_2022-05-27_09-00-08-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nuscript 2.anti and dimensional\viber_image_2022-05-27_09-00-08-1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1"/>
                    <a:stretch/>
                  </pic:blipFill>
                  <pic:spPr bwMode="auto">
                    <a:xfrm>
                      <a:off x="0" y="0"/>
                      <a:ext cx="2260226" cy="317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ajorBidi"/>
        </w:rPr>
        <w:t xml:space="preserve">           </w:t>
      </w:r>
      <w:r w:rsidRPr="004445C3">
        <w:rPr>
          <w:rFonts w:cstheme="majorBidi"/>
          <w:noProof/>
          <w:sz w:val="21"/>
          <w:szCs w:val="21"/>
          <w:lang w:val="en-US" w:eastAsia="en-US"/>
        </w:rPr>
        <w:drawing>
          <wp:inline distT="0" distB="0" distL="0" distR="0" wp14:anchorId="2F17D85A" wp14:editId="40D3CCA9">
            <wp:extent cx="1930902" cy="2219793"/>
            <wp:effectExtent l="0" t="0" r="0" b="0"/>
            <wp:docPr id="7" name="Picture 7" descr="E:\manuscript 2.anti and dimensional\viber_image_2022-05-27_09-00-07-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nuscript 2.anti and dimensional\viber_image_2022-05-27_09-00-07-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2" t="10988" r="11065" b="6161"/>
                    <a:stretch/>
                  </pic:blipFill>
                  <pic:spPr bwMode="auto">
                    <a:xfrm>
                      <a:off x="0" y="0"/>
                      <a:ext cx="1948183" cy="22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7BFC4" w14:textId="357508A7" w:rsidR="004445C3" w:rsidRDefault="004445C3" w:rsidP="004445C3">
      <w:pPr>
        <w:jc w:val="center"/>
        <w:rPr>
          <w:rFonts w:cstheme="majorBidi"/>
        </w:rPr>
      </w:pPr>
      <w:r w:rsidRPr="00B22256">
        <w:rPr>
          <w:rFonts w:cstheme="majorBidi"/>
          <w:b/>
          <w:bCs/>
        </w:rPr>
        <w:t>Figure 1</w:t>
      </w:r>
      <w:r w:rsidRPr="004445C3">
        <w:rPr>
          <w:rFonts w:cstheme="majorBidi"/>
        </w:rPr>
        <w:t xml:space="preserve">: a) </w:t>
      </w:r>
      <w:proofErr w:type="spellStart"/>
      <w:r w:rsidRPr="004445C3">
        <w:rPr>
          <w:rFonts w:cstheme="majorBidi"/>
        </w:rPr>
        <w:t>PANalytical</w:t>
      </w:r>
      <w:proofErr w:type="spellEnd"/>
      <w:r w:rsidRPr="004445C3">
        <w:rPr>
          <w:rFonts w:cstheme="majorBidi"/>
        </w:rPr>
        <w:t xml:space="preserve"> </w:t>
      </w:r>
      <w:proofErr w:type="spellStart"/>
      <w:r w:rsidRPr="004445C3">
        <w:rPr>
          <w:rFonts w:cstheme="majorBidi"/>
        </w:rPr>
        <w:t>X’pert</w:t>
      </w:r>
      <w:proofErr w:type="spellEnd"/>
      <w:r w:rsidRPr="004445C3">
        <w:rPr>
          <w:rFonts w:cstheme="majorBidi"/>
        </w:rPr>
        <w:t xml:space="preserve"> powder   b) specimen holder</w:t>
      </w:r>
    </w:p>
    <w:p w14:paraId="65D9CE93" w14:textId="77777777" w:rsidR="004445C3" w:rsidRPr="008D4A6C" w:rsidRDefault="004445C3" w:rsidP="004445C3">
      <w:pPr>
        <w:jc w:val="center"/>
        <w:rPr>
          <w:rFonts w:cstheme="majorBidi"/>
        </w:rPr>
      </w:pPr>
    </w:p>
    <w:p w14:paraId="33BA27FA" w14:textId="3B3F19D8" w:rsidR="004445C3" w:rsidRDefault="004445C3" w:rsidP="00B22256">
      <w:pPr>
        <w:ind w:firstLine="0"/>
        <w:rPr>
          <w:rFonts w:cstheme="majorBidi"/>
        </w:rPr>
      </w:pPr>
      <w:r w:rsidRPr="004445C3">
        <w:rPr>
          <w:rFonts w:cstheme="majorBidi"/>
        </w:rPr>
        <w:t xml:space="preserve">The </w:t>
      </w:r>
      <w:proofErr w:type="spellStart"/>
      <w:r w:rsidRPr="004445C3">
        <w:rPr>
          <w:rFonts w:cstheme="majorBidi"/>
        </w:rPr>
        <w:t>PANalytical</w:t>
      </w:r>
      <w:proofErr w:type="spellEnd"/>
      <w:r w:rsidRPr="004445C3">
        <w:rPr>
          <w:rFonts w:cstheme="majorBidi"/>
        </w:rPr>
        <w:t xml:space="preserve"> software </w:t>
      </w:r>
      <w:r w:rsidR="008E79B4">
        <w:rPr>
          <w:rFonts w:cstheme="majorBidi"/>
        </w:rPr>
        <w:t xml:space="preserve">was </w:t>
      </w:r>
      <w:r w:rsidRPr="004445C3">
        <w:rPr>
          <w:rFonts w:cstheme="majorBidi"/>
        </w:rPr>
        <w:t>used to compare X-ray XRD patterns to identify the NPs. The result of the analysis identified the sample as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 xml:space="preserve"> and its diffraction pattern </w:t>
      </w:r>
      <w:r w:rsidR="008E79B4">
        <w:rPr>
          <w:rFonts w:cstheme="majorBidi"/>
        </w:rPr>
        <w:t>are</w:t>
      </w:r>
      <w:r w:rsidRPr="004445C3">
        <w:rPr>
          <w:rFonts w:cstheme="majorBidi"/>
        </w:rPr>
        <w:t xml:space="preserve"> shown in figure (2):</w:t>
      </w:r>
    </w:p>
    <w:p w14:paraId="1BC05DDF" w14:textId="5826DCEE" w:rsidR="004445C3" w:rsidRPr="004445C3" w:rsidRDefault="004445C3" w:rsidP="004445C3">
      <w:pPr>
        <w:jc w:val="center"/>
        <w:rPr>
          <w:rFonts w:cstheme="majorBidi"/>
        </w:rPr>
      </w:pPr>
      <w:r w:rsidRPr="004445C3">
        <w:rPr>
          <w:rFonts w:cstheme="majorBidi"/>
          <w:noProof/>
          <w:sz w:val="21"/>
          <w:szCs w:val="21"/>
          <w:lang w:val="en-US" w:eastAsia="en-US"/>
        </w:rPr>
        <w:drawing>
          <wp:inline distT="0" distB="0" distL="0" distR="0" wp14:anchorId="65F67F0F" wp14:editId="3C75522B">
            <wp:extent cx="5516245" cy="3745618"/>
            <wp:effectExtent l="0" t="0" r="825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45" cy="376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1204A" w14:textId="7C1F9E0C" w:rsidR="004445C3" w:rsidRDefault="004445C3" w:rsidP="004445C3">
      <w:pPr>
        <w:jc w:val="center"/>
        <w:rPr>
          <w:rFonts w:cstheme="majorBidi"/>
        </w:rPr>
      </w:pPr>
      <w:r w:rsidRPr="00B22256">
        <w:rPr>
          <w:rFonts w:cstheme="majorBidi"/>
          <w:b/>
          <w:bCs/>
        </w:rPr>
        <w:t>Figure 2</w:t>
      </w:r>
      <w:r w:rsidRPr="004445C3">
        <w:rPr>
          <w:rFonts w:cstheme="majorBidi"/>
        </w:rPr>
        <w:t>: XRD pattern for Titanium oxide nanoparticles</w:t>
      </w:r>
    </w:p>
    <w:p w14:paraId="63FF1AE2" w14:textId="77777777" w:rsidR="00266625" w:rsidRPr="004445C3" w:rsidRDefault="00266625" w:rsidP="004445C3">
      <w:pPr>
        <w:jc w:val="center"/>
        <w:rPr>
          <w:rFonts w:cstheme="majorBidi"/>
        </w:rPr>
      </w:pPr>
    </w:p>
    <w:p w14:paraId="7A09BD77" w14:textId="0252D37E" w:rsidR="004445C3" w:rsidRPr="004445C3" w:rsidRDefault="004445C3" w:rsidP="00403379">
      <w:pPr>
        <w:spacing w:before="60" w:after="240" w:line="240" w:lineRule="auto"/>
        <w:ind w:firstLine="0"/>
        <w:rPr>
          <w:rFonts w:cstheme="majorBidi"/>
        </w:rPr>
      </w:pPr>
      <w:r w:rsidRPr="004445C3">
        <w:rPr>
          <w:rFonts w:cstheme="majorBidi"/>
        </w:rPr>
        <w:t>After confirming the identity of the chosen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>NPs, a pilot study was done by FTIR analysis to reveal any possible chemical structure changes (alteration of functional groups) after adding (2%, 3% and 5%) of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 xml:space="preserve">NPs to the alginate, control and modified groups were </w:t>
      </w:r>
      <w:r w:rsidR="008E79B4" w:rsidRPr="004445C3">
        <w:rPr>
          <w:rFonts w:cstheme="majorBidi"/>
        </w:rPr>
        <w:t>analysed</w:t>
      </w:r>
      <w:r w:rsidRPr="004445C3">
        <w:rPr>
          <w:rFonts w:cstheme="majorBidi"/>
        </w:rPr>
        <w:t xml:space="preserve"> by the FTIR spectroscopy (Shi</w:t>
      </w:r>
      <w:r w:rsidRPr="004445C3">
        <w:rPr>
          <w:rFonts w:cstheme="majorBidi"/>
        </w:rPr>
        <w:lastRenderedPageBreak/>
        <w:t>madzu 8400, Japan). The result (</w:t>
      </w:r>
      <w:r w:rsidR="008E79B4">
        <w:rPr>
          <w:rFonts w:cstheme="majorBidi"/>
        </w:rPr>
        <w:t>F</w:t>
      </w:r>
      <w:r w:rsidRPr="004445C3">
        <w:rPr>
          <w:rFonts w:cstheme="majorBidi"/>
        </w:rPr>
        <w:t xml:space="preserve">igure 3) provided a clear clue that the </w:t>
      </w:r>
      <w:r w:rsidR="00952149">
        <w:rPr>
          <w:rFonts w:cstheme="majorBidi"/>
        </w:rPr>
        <w:t>in cooperation of</w:t>
      </w:r>
      <w:r w:rsidRPr="004445C3">
        <w:rPr>
          <w:rFonts w:cstheme="majorBidi"/>
        </w:rPr>
        <w:t xml:space="preserve">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 xml:space="preserve">NPs at all concentrations doesn’t </w:t>
      </w:r>
      <w:r w:rsidR="00952149">
        <w:rPr>
          <w:rFonts w:cstheme="majorBidi"/>
        </w:rPr>
        <w:t>induce</w:t>
      </w:r>
      <w:r w:rsidRPr="004445C3">
        <w:rPr>
          <w:rFonts w:cstheme="majorBidi"/>
        </w:rPr>
        <w:t xml:space="preserve"> any significant change in the main functional </w:t>
      </w:r>
      <w:r w:rsidR="00952149">
        <w:rPr>
          <w:rFonts w:cstheme="majorBidi"/>
        </w:rPr>
        <w:t>groups'</w:t>
      </w:r>
      <w:r w:rsidRPr="004445C3">
        <w:rPr>
          <w:rFonts w:cstheme="majorBidi"/>
        </w:rPr>
        <w:t xml:space="preserve"> structure for </w:t>
      </w:r>
      <w:r w:rsidR="00952149">
        <w:rPr>
          <w:rFonts w:cstheme="majorBidi"/>
        </w:rPr>
        <w:t xml:space="preserve">the </w:t>
      </w:r>
      <w:r w:rsidRPr="004445C3">
        <w:rPr>
          <w:rFonts w:cstheme="majorBidi"/>
        </w:rPr>
        <w:t xml:space="preserve">(SI-O-SI group, C-O-C group, O-H group and C-H group) which was present in the unmodified alginate as the stretching and bending of the peaks </w:t>
      </w:r>
      <w:r w:rsidR="001B2A4A">
        <w:rPr>
          <w:rFonts w:cstheme="majorBidi"/>
        </w:rPr>
        <w:t xml:space="preserve">did </w:t>
      </w:r>
      <w:r w:rsidRPr="004445C3">
        <w:rPr>
          <w:rFonts w:cstheme="majorBidi"/>
        </w:rPr>
        <w:t xml:space="preserve">not </w:t>
      </w:r>
      <w:r w:rsidR="001B2A4A">
        <w:rPr>
          <w:rFonts w:cstheme="majorBidi"/>
        </w:rPr>
        <w:t>alter</w:t>
      </w:r>
      <w:r w:rsidRPr="004445C3">
        <w:rPr>
          <w:rFonts w:cstheme="majorBidi"/>
        </w:rPr>
        <w:t xml:space="preserve"> after the addition of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 xml:space="preserve">NPs. </w:t>
      </w:r>
    </w:p>
    <w:p w14:paraId="62B67EBB" w14:textId="38B82915" w:rsidR="004445C3" w:rsidRPr="004445C3" w:rsidRDefault="004445C3" w:rsidP="00403379">
      <w:pPr>
        <w:spacing w:before="60" w:after="240" w:line="240" w:lineRule="auto"/>
        <w:ind w:firstLine="0"/>
        <w:rPr>
          <w:rFonts w:cstheme="majorBidi"/>
        </w:rPr>
      </w:pPr>
      <w:r w:rsidRPr="004445C3">
        <w:rPr>
          <w:rFonts w:cstheme="majorBidi"/>
        </w:rPr>
        <w:t xml:space="preserve">The only detected change was the increase in the percentage of IR transmittance </w:t>
      </w:r>
      <w:r w:rsidR="004842CE">
        <w:rPr>
          <w:rFonts w:cstheme="majorBidi"/>
        </w:rPr>
        <w:t xml:space="preserve">which was detected </w:t>
      </w:r>
      <w:r w:rsidRPr="004445C3">
        <w:rPr>
          <w:rFonts w:cstheme="majorBidi"/>
        </w:rPr>
        <w:t>only in the 5%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>NPs group, indicating the weakening of the bonds between the alginate molecules.</w:t>
      </w:r>
    </w:p>
    <w:p w14:paraId="0E28B98F" w14:textId="1AC48FD3" w:rsidR="004445C3" w:rsidRPr="004445C3" w:rsidRDefault="004445C3" w:rsidP="00403379">
      <w:pPr>
        <w:spacing w:before="60" w:after="240" w:line="240" w:lineRule="auto"/>
        <w:ind w:firstLine="0"/>
        <w:rPr>
          <w:rFonts w:cstheme="majorBidi"/>
        </w:rPr>
      </w:pPr>
      <w:r w:rsidRPr="004445C3">
        <w:rPr>
          <w:rFonts w:cstheme="majorBidi"/>
        </w:rPr>
        <w:t xml:space="preserve">Similar to </w:t>
      </w:r>
      <w:r w:rsidR="001B2A4A">
        <w:rPr>
          <w:rFonts w:cstheme="majorBidi"/>
        </w:rPr>
        <w:t xml:space="preserve">the </w:t>
      </w:r>
      <w:r w:rsidRPr="004445C3">
        <w:rPr>
          <w:rFonts w:cstheme="majorBidi"/>
        </w:rPr>
        <w:t>control group, sharp</w:t>
      </w:r>
      <w:r w:rsidR="00D62ED5">
        <w:rPr>
          <w:rFonts w:cstheme="majorBidi"/>
        </w:rPr>
        <w:t>,</w:t>
      </w:r>
      <w:r w:rsidRPr="004445C3">
        <w:rPr>
          <w:rFonts w:cstheme="majorBidi"/>
        </w:rPr>
        <w:t xml:space="preserve"> strong peaks at 619.21 cm</w:t>
      </w:r>
      <w:r w:rsidRPr="004445C3">
        <w:rPr>
          <w:rFonts w:cstheme="majorBidi"/>
          <w:vertAlign w:val="superscript"/>
        </w:rPr>
        <w:t>-1</w:t>
      </w:r>
      <w:r w:rsidRPr="004445C3">
        <w:rPr>
          <w:rFonts w:cstheme="majorBidi"/>
        </w:rPr>
        <w:t>, 669.83 cm</w:t>
      </w:r>
      <w:r w:rsidRPr="004445C3">
        <w:rPr>
          <w:rFonts w:cstheme="majorBidi"/>
          <w:vertAlign w:val="superscript"/>
        </w:rPr>
        <w:t>-1</w:t>
      </w:r>
      <w:r w:rsidRPr="004445C3">
        <w:rPr>
          <w:rFonts w:cstheme="majorBidi"/>
        </w:rPr>
        <w:t xml:space="preserve"> and 793.54 cm</w:t>
      </w:r>
      <w:r w:rsidRPr="004445C3">
        <w:rPr>
          <w:rFonts w:cstheme="majorBidi"/>
          <w:vertAlign w:val="superscript"/>
        </w:rPr>
        <w:t>-1</w:t>
      </w:r>
      <w:r w:rsidRPr="004445C3">
        <w:rPr>
          <w:rFonts w:cstheme="majorBidi"/>
        </w:rPr>
        <w:t xml:space="preserve"> for SI-O-SI bands, also the peak at 1078.81 cm</w:t>
      </w:r>
      <w:r w:rsidRPr="004445C3">
        <w:rPr>
          <w:rFonts w:cstheme="majorBidi"/>
          <w:vertAlign w:val="superscript"/>
        </w:rPr>
        <w:t xml:space="preserve">-1 </w:t>
      </w:r>
      <w:r w:rsidRPr="004445C3">
        <w:rPr>
          <w:rFonts w:cstheme="majorBidi"/>
        </w:rPr>
        <w:t>for C-O-C bands were observed in all modified groups indicating that the added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 xml:space="preserve">NPs does not </w:t>
      </w:r>
      <w:r w:rsidR="00D62ED5">
        <w:rPr>
          <w:rFonts w:cstheme="majorBidi"/>
        </w:rPr>
        <w:t>interact</w:t>
      </w:r>
      <w:r w:rsidRPr="004445C3">
        <w:rPr>
          <w:rFonts w:cstheme="majorBidi"/>
        </w:rPr>
        <w:t xml:space="preserve"> with the available structural bonds in the alginate, this finding </w:t>
      </w:r>
      <w:r w:rsidR="00D62ED5">
        <w:rPr>
          <w:rFonts w:cstheme="majorBidi"/>
        </w:rPr>
        <w:t>agrees</w:t>
      </w:r>
      <w:r w:rsidRPr="004445C3">
        <w:rPr>
          <w:rFonts w:cstheme="majorBidi"/>
        </w:rPr>
        <w:t xml:space="preserve"> with </w:t>
      </w:r>
      <w:proofErr w:type="spellStart"/>
      <w:r w:rsidR="0085547A">
        <w:rPr>
          <w:rFonts w:cstheme="majorBidi"/>
        </w:rPr>
        <w:t>Skocaj</w:t>
      </w:r>
      <w:proofErr w:type="spellEnd"/>
      <w:r w:rsidR="0085547A">
        <w:rPr>
          <w:rFonts w:cstheme="majorBidi"/>
        </w:rPr>
        <w:t xml:space="preserve"> et al</w:t>
      </w:r>
      <w:r w:rsidRPr="004445C3">
        <w:rPr>
          <w:rFonts w:cstheme="majorBidi"/>
        </w:rPr>
        <w:t xml:space="preserve"> </w:t>
      </w:r>
      <w:r w:rsidRPr="004445C3">
        <w:rPr>
          <w:rFonts w:cstheme="majorBidi"/>
          <w:vertAlign w:val="superscript"/>
        </w:rPr>
        <w:t>19</w:t>
      </w:r>
      <w:r w:rsidRPr="004445C3">
        <w:rPr>
          <w:rStyle w:val="authors-list-item"/>
          <w:rFonts w:cstheme="majorBidi"/>
          <w:color w:val="000000" w:themeColor="text1"/>
          <w:shd w:val="clear" w:color="auto" w:fill="FFFFFF"/>
        </w:rPr>
        <w:t xml:space="preserve"> who stated that TiO</w:t>
      </w:r>
      <w:r w:rsidRPr="004445C3">
        <w:rPr>
          <w:rFonts w:cstheme="majorBidi"/>
          <w:vertAlign w:val="subscript"/>
        </w:rPr>
        <w:t>2</w:t>
      </w:r>
      <w:r w:rsidRPr="004445C3">
        <w:rPr>
          <w:rStyle w:val="authors-list-item"/>
          <w:rFonts w:cstheme="majorBidi"/>
          <w:color w:val="000000" w:themeColor="text1"/>
          <w:shd w:val="clear" w:color="auto" w:fill="FFFFFF"/>
        </w:rPr>
        <w:t xml:space="preserve">NPs considered as a </w:t>
      </w:r>
      <w:r w:rsidR="0085547A">
        <w:rPr>
          <w:rStyle w:val="authors-list-item"/>
          <w:rFonts w:cstheme="majorBidi"/>
          <w:color w:val="000000" w:themeColor="text1"/>
          <w:shd w:val="clear" w:color="auto" w:fill="FFFFFF"/>
        </w:rPr>
        <w:t>chemically</w:t>
      </w:r>
      <w:r w:rsidRPr="004445C3">
        <w:rPr>
          <w:rStyle w:val="authors-list-item"/>
          <w:rFonts w:cstheme="majorBidi"/>
          <w:color w:val="000000" w:themeColor="text1"/>
          <w:shd w:val="clear" w:color="auto" w:fill="FFFFFF"/>
        </w:rPr>
        <w:t xml:space="preserve"> inert material</w:t>
      </w:r>
      <w:r w:rsidRPr="004445C3">
        <w:rPr>
          <w:rFonts w:cstheme="majorBidi"/>
        </w:rPr>
        <w:t xml:space="preserve">. </w:t>
      </w:r>
    </w:p>
    <w:p w14:paraId="4B634C76" w14:textId="3C117FA3" w:rsidR="004445C3" w:rsidRPr="004445C3" w:rsidRDefault="00D62ED5" w:rsidP="00403379">
      <w:pPr>
        <w:spacing w:before="60" w:after="240" w:line="240" w:lineRule="auto"/>
        <w:ind w:firstLine="0"/>
        <w:rPr>
          <w:rFonts w:cstheme="majorBidi"/>
        </w:rPr>
      </w:pPr>
      <w:r>
        <w:rPr>
          <w:rFonts w:cstheme="majorBidi"/>
        </w:rPr>
        <w:t>The weak</w:t>
      </w:r>
      <w:r w:rsidR="004445C3" w:rsidRPr="004445C3">
        <w:rPr>
          <w:rFonts w:cstheme="majorBidi"/>
        </w:rPr>
        <w:t xml:space="preserve"> sharp bending peak of </w:t>
      </w:r>
      <w:r>
        <w:rPr>
          <w:rFonts w:cstheme="majorBidi"/>
        </w:rPr>
        <w:t xml:space="preserve">the </w:t>
      </w:r>
      <w:r w:rsidR="004445C3" w:rsidRPr="004445C3">
        <w:rPr>
          <w:rFonts w:cstheme="majorBidi"/>
        </w:rPr>
        <w:t>O-H group at 1621.88 cm</w:t>
      </w:r>
      <w:r w:rsidR="004445C3" w:rsidRPr="004445C3">
        <w:rPr>
          <w:rFonts w:cstheme="majorBidi"/>
          <w:vertAlign w:val="superscript"/>
        </w:rPr>
        <w:t>-1</w:t>
      </w:r>
      <w:r w:rsidR="004445C3" w:rsidRPr="004445C3">
        <w:rPr>
          <w:rFonts w:cstheme="majorBidi"/>
        </w:rPr>
        <w:t xml:space="preserve"> was very similar in control, 2% TiO</w:t>
      </w:r>
      <w:r w:rsidR="004445C3" w:rsidRPr="004445C3">
        <w:rPr>
          <w:rFonts w:cstheme="majorBidi"/>
          <w:vertAlign w:val="subscript"/>
        </w:rPr>
        <w:t>2</w:t>
      </w:r>
      <w:r w:rsidR="004445C3" w:rsidRPr="004445C3">
        <w:rPr>
          <w:rFonts w:cstheme="majorBidi"/>
        </w:rPr>
        <w:t>NPs and 3% TiO</w:t>
      </w:r>
      <w:r w:rsidR="004445C3" w:rsidRPr="004445C3">
        <w:rPr>
          <w:rFonts w:cstheme="majorBidi"/>
          <w:vertAlign w:val="subscript"/>
        </w:rPr>
        <w:t>2</w:t>
      </w:r>
      <w:r w:rsidR="004445C3" w:rsidRPr="004445C3">
        <w:rPr>
          <w:rFonts w:cstheme="majorBidi"/>
        </w:rPr>
        <w:t>NPs as the IR transmittance located at the same levels, but for the 5% group although the bands located at the same wavelength level but, the IR transmittance increased which is an indication that the higher TiO</w:t>
      </w:r>
      <w:r w:rsidR="004445C3" w:rsidRPr="004445C3">
        <w:rPr>
          <w:rFonts w:cstheme="majorBidi"/>
          <w:vertAlign w:val="subscript"/>
        </w:rPr>
        <w:t>2</w:t>
      </w:r>
      <w:r w:rsidR="004445C3" w:rsidRPr="004445C3">
        <w:rPr>
          <w:rFonts w:cstheme="majorBidi"/>
        </w:rPr>
        <w:t xml:space="preserve">NPs concentration might </w:t>
      </w:r>
      <w:r>
        <w:rPr>
          <w:rFonts w:cstheme="majorBidi"/>
        </w:rPr>
        <w:t>cause</w:t>
      </w:r>
      <w:r w:rsidR="004445C3" w:rsidRPr="004445C3">
        <w:rPr>
          <w:rFonts w:cstheme="majorBidi"/>
        </w:rPr>
        <w:t xml:space="preserve"> weakening of these bands due to the agglomeration of the TiO</w:t>
      </w:r>
      <w:r w:rsidR="004445C3" w:rsidRPr="004445C3">
        <w:rPr>
          <w:rFonts w:cstheme="majorBidi"/>
          <w:vertAlign w:val="subscript"/>
        </w:rPr>
        <w:t>2</w:t>
      </w:r>
      <w:r w:rsidR="004445C3" w:rsidRPr="004445C3">
        <w:rPr>
          <w:rFonts w:cstheme="majorBidi"/>
        </w:rPr>
        <w:t>NPs</w:t>
      </w:r>
      <w:r w:rsidR="004445C3" w:rsidRPr="004445C3">
        <w:rPr>
          <w:rFonts w:cstheme="majorBidi"/>
          <w:vertAlign w:val="superscript"/>
        </w:rPr>
        <w:t>20</w:t>
      </w:r>
      <w:r w:rsidR="004445C3" w:rsidRPr="004445C3">
        <w:rPr>
          <w:rFonts w:cstheme="majorBidi"/>
        </w:rPr>
        <w:t>.</w:t>
      </w:r>
    </w:p>
    <w:p w14:paraId="3B791678" w14:textId="1E3D23E5" w:rsidR="004445C3" w:rsidRPr="004445C3" w:rsidRDefault="004445C3" w:rsidP="00403379">
      <w:pPr>
        <w:spacing w:before="60" w:after="240" w:line="240" w:lineRule="auto"/>
        <w:ind w:firstLine="0"/>
        <w:rPr>
          <w:rFonts w:asciiTheme="majorBidi" w:hAnsiTheme="majorBidi" w:cstheme="majorBidi"/>
        </w:rPr>
      </w:pPr>
      <w:r w:rsidRPr="004445C3">
        <w:rPr>
          <w:rFonts w:cstheme="majorBidi"/>
        </w:rPr>
        <w:t>The weak stretch peak of the C-H group at 2924.61 cm</w:t>
      </w:r>
      <w:r w:rsidRPr="004445C3">
        <w:rPr>
          <w:rFonts w:cstheme="majorBidi"/>
          <w:vertAlign w:val="superscript"/>
        </w:rPr>
        <w:t>-1</w:t>
      </w:r>
      <w:r w:rsidRPr="004445C3">
        <w:rPr>
          <w:rFonts w:cstheme="majorBidi"/>
        </w:rPr>
        <w:t xml:space="preserve">, also </w:t>
      </w:r>
      <w:r w:rsidR="00D62ED5">
        <w:rPr>
          <w:rFonts w:cstheme="majorBidi"/>
        </w:rPr>
        <w:t xml:space="preserve">the </w:t>
      </w:r>
      <w:r w:rsidRPr="004445C3">
        <w:rPr>
          <w:rFonts w:cstheme="majorBidi"/>
        </w:rPr>
        <w:t xml:space="preserve">strong stretch peak of </w:t>
      </w:r>
      <w:r w:rsidR="00D62ED5">
        <w:rPr>
          <w:rFonts w:cstheme="majorBidi"/>
        </w:rPr>
        <w:t xml:space="preserve">the </w:t>
      </w:r>
      <w:r w:rsidRPr="004445C3">
        <w:rPr>
          <w:rFonts w:cstheme="majorBidi"/>
        </w:rPr>
        <w:t>O-H group at 3421.89 cm</w:t>
      </w:r>
      <w:r w:rsidRPr="004445C3">
        <w:rPr>
          <w:rFonts w:cstheme="majorBidi"/>
          <w:vertAlign w:val="superscript"/>
        </w:rPr>
        <w:t xml:space="preserve">-1 </w:t>
      </w:r>
      <w:r w:rsidRPr="004445C3">
        <w:rPr>
          <w:rFonts w:cstheme="majorBidi"/>
        </w:rPr>
        <w:t>and 3527.51 cm</w:t>
      </w:r>
      <w:r w:rsidRPr="004445C3">
        <w:rPr>
          <w:rFonts w:cstheme="majorBidi"/>
          <w:vertAlign w:val="superscript"/>
        </w:rPr>
        <w:t xml:space="preserve">-1 </w:t>
      </w:r>
      <w:r w:rsidRPr="004445C3">
        <w:rPr>
          <w:rFonts w:cstheme="majorBidi"/>
        </w:rPr>
        <w:t>for the control, 2%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>NPs and 3%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>NPs groups was almost identical but again there was a difference in the IR transmittance rate in which for the 5% 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>NPs group was 80%, while for the former three groups at about 50%, this might be due to formation of small gaps between these molecular groups band which ultimately caused the bonds to become weaker</w:t>
      </w:r>
      <w:r w:rsidRPr="004445C3">
        <w:rPr>
          <w:rFonts w:cstheme="majorBidi"/>
          <w:vertAlign w:val="superscript"/>
        </w:rPr>
        <w:t>20</w:t>
      </w:r>
      <w:r w:rsidRPr="004445C3">
        <w:rPr>
          <w:rFonts w:cstheme="majorBidi"/>
        </w:rPr>
        <w:t xml:space="preserve"> thus the IR easily penetrated the samples contained </w:t>
      </w:r>
      <w:r w:rsidR="00D62ED5">
        <w:rPr>
          <w:rFonts w:cstheme="majorBidi"/>
        </w:rPr>
        <w:t xml:space="preserve">a </w:t>
      </w:r>
      <w:r w:rsidRPr="004445C3">
        <w:rPr>
          <w:rFonts w:cstheme="majorBidi"/>
        </w:rPr>
        <w:t>higher percentage of 5%TiO</w:t>
      </w:r>
      <w:r w:rsidRPr="004445C3">
        <w:rPr>
          <w:rFonts w:cstheme="majorBidi"/>
          <w:vertAlign w:val="subscript"/>
        </w:rPr>
        <w:t>2</w:t>
      </w:r>
      <w:r w:rsidRPr="004445C3">
        <w:rPr>
          <w:rFonts w:cstheme="majorBidi"/>
        </w:rPr>
        <w:t xml:space="preserve"> NPs</w:t>
      </w:r>
      <w:r w:rsidRPr="004445C3">
        <w:rPr>
          <w:rFonts w:asciiTheme="majorBidi" w:hAnsiTheme="majorBidi" w:cstheme="majorBidi"/>
        </w:rPr>
        <w:t>.</w:t>
      </w:r>
    </w:p>
    <w:p w14:paraId="191335FC" w14:textId="233D2B98" w:rsidR="004445C3" w:rsidRDefault="004445C3" w:rsidP="004445C3">
      <w:pPr>
        <w:jc w:val="center"/>
        <w:rPr>
          <w:rFonts w:asciiTheme="majorBidi" w:hAnsiTheme="majorBidi" w:cstheme="majorBidi"/>
          <w:sz w:val="24"/>
          <w:szCs w:val="24"/>
        </w:rPr>
      </w:pPr>
      <w:r w:rsidRPr="004445C3">
        <w:rPr>
          <w:rFonts w:cstheme="majorBidi"/>
          <w:noProof/>
          <w:sz w:val="21"/>
          <w:szCs w:val="21"/>
          <w:lang w:val="en-US" w:eastAsia="en-US"/>
        </w:rPr>
        <w:drawing>
          <wp:inline distT="0" distB="0" distL="0" distR="0" wp14:anchorId="7CBE2980" wp14:editId="37B1EA88">
            <wp:extent cx="5475108" cy="288989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45" cy="2972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F0CF0" w14:textId="77777777" w:rsidR="004445C3" w:rsidRPr="004445C3" w:rsidRDefault="004445C3" w:rsidP="004445C3">
      <w:pPr>
        <w:jc w:val="center"/>
        <w:rPr>
          <w:rFonts w:cstheme="majorBidi"/>
        </w:rPr>
      </w:pPr>
      <w:r w:rsidRPr="00403379">
        <w:rPr>
          <w:rFonts w:cstheme="majorBidi"/>
          <w:b/>
          <w:bCs/>
        </w:rPr>
        <w:t>Figure 3</w:t>
      </w:r>
      <w:r w:rsidRPr="004445C3">
        <w:rPr>
          <w:rFonts w:cstheme="majorBidi"/>
        </w:rPr>
        <w:t>: FTIR analysis of Alginate (Blue =Control, Pink=2%, Green =3%, Black= 5%)</w:t>
      </w:r>
    </w:p>
    <w:p w14:paraId="50A5D100" w14:textId="77777777" w:rsidR="008760ED" w:rsidRDefault="008760ED" w:rsidP="008760ED">
      <w:pPr>
        <w:ind w:firstLine="0"/>
        <w:rPr>
          <w:rFonts w:cstheme="majorBidi"/>
          <w:b/>
          <w:bCs/>
        </w:rPr>
      </w:pPr>
    </w:p>
    <w:p w14:paraId="200B4B9C" w14:textId="77777777" w:rsidR="00403379" w:rsidRDefault="00403379" w:rsidP="008760ED">
      <w:pPr>
        <w:ind w:firstLine="0"/>
        <w:rPr>
          <w:rFonts w:cstheme="majorBidi"/>
          <w:b/>
          <w:bCs/>
        </w:rPr>
      </w:pPr>
    </w:p>
    <w:p w14:paraId="48F20CFD" w14:textId="77777777" w:rsidR="00403379" w:rsidRDefault="00403379" w:rsidP="008760ED">
      <w:pPr>
        <w:ind w:firstLine="0"/>
        <w:rPr>
          <w:rFonts w:cstheme="majorBidi"/>
          <w:b/>
          <w:bCs/>
        </w:rPr>
      </w:pPr>
    </w:p>
    <w:p w14:paraId="2F5AD1D0" w14:textId="6C60643B" w:rsidR="008760ED" w:rsidRPr="00D62ED5" w:rsidRDefault="008760ED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 w:rsidRPr="00D62ED5">
        <w:rPr>
          <w:rFonts w:cstheme="majorBidi"/>
          <w:b/>
          <w:bCs/>
        </w:rPr>
        <w:lastRenderedPageBreak/>
        <w:t xml:space="preserve">Study design and sample preparation </w:t>
      </w:r>
    </w:p>
    <w:p w14:paraId="4A2FE0F1" w14:textId="74009CE9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 xml:space="preserve">In the present study, 84 samples were prepared from </w:t>
      </w:r>
      <w:proofErr w:type="spellStart"/>
      <w:r w:rsidRPr="00AD1AFD">
        <w:rPr>
          <w:rFonts w:cstheme="majorBidi"/>
        </w:rPr>
        <w:t>Alginplus</w:t>
      </w:r>
      <w:proofErr w:type="spellEnd"/>
      <w:r w:rsidRPr="00AD1AFD">
        <w:rPr>
          <w:rFonts w:cstheme="majorBidi"/>
        </w:rPr>
        <w:t xml:space="preserve"> (Major-</w:t>
      </w:r>
      <w:r w:rsidRPr="00AD1AFD">
        <w:rPr>
          <w:rFonts w:cstheme="majorBidi"/>
          <w:shd w:val="clear" w:color="auto" w:fill="FFFFFF"/>
        </w:rPr>
        <w:t xml:space="preserve"> ISO 21563.</w:t>
      </w:r>
      <w:r w:rsidRPr="00AD1AFD">
        <w:rPr>
          <w:rFonts w:cstheme="majorBidi"/>
        </w:rPr>
        <w:t xml:space="preserve"> Italy) extra high precision alginate impression material. Antimicrobial activity against </w:t>
      </w:r>
      <w:r w:rsidRPr="00AD1AFD">
        <w:rPr>
          <w:rFonts w:cstheme="majorBidi"/>
          <w:i/>
          <w:iCs/>
        </w:rPr>
        <w:t xml:space="preserve">S. </w:t>
      </w:r>
      <w:proofErr w:type="spellStart"/>
      <w:r w:rsidRPr="00AD1AFD">
        <w:rPr>
          <w:rFonts w:cstheme="majorBidi"/>
          <w:i/>
          <w:iCs/>
        </w:rPr>
        <w:t>mutans</w:t>
      </w:r>
      <w:proofErr w:type="spellEnd"/>
      <w:r w:rsidRPr="00AD1AFD">
        <w:rPr>
          <w:rFonts w:cstheme="majorBidi"/>
          <w:i/>
          <w:iCs/>
        </w:rPr>
        <w:t xml:space="preserve"> </w:t>
      </w:r>
      <w:r w:rsidRPr="00AD1AFD">
        <w:rPr>
          <w:rFonts w:cstheme="majorBidi"/>
        </w:rPr>
        <w:t xml:space="preserve">(n=28) and </w:t>
      </w:r>
      <w:r w:rsidRPr="00AD1AFD">
        <w:rPr>
          <w:rFonts w:cstheme="majorBidi"/>
          <w:i/>
          <w:iCs/>
        </w:rPr>
        <w:t xml:space="preserve">C. albicans </w:t>
      </w:r>
      <w:r w:rsidRPr="00AD1AFD">
        <w:rPr>
          <w:rFonts w:cstheme="majorBidi"/>
        </w:rPr>
        <w:t>(n=28) in addition to surface detail reproduction (n=28) were tested. One control group and three modified groups to which (2%, 3% and 5%) spheric shaped TiO</w:t>
      </w:r>
      <w:r w:rsidRPr="00AD1AFD">
        <w:rPr>
          <w:rFonts w:cstheme="majorBidi"/>
          <w:vertAlign w:val="subscript"/>
        </w:rPr>
        <w:t>2</w:t>
      </w:r>
      <w:r w:rsidRPr="00AD1AFD">
        <w:rPr>
          <w:rFonts w:cstheme="majorBidi"/>
        </w:rPr>
        <w:t xml:space="preserve">NPs were added respectively to the alginate have been studied, each group </w:t>
      </w:r>
      <w:r w:rsidR="00D62ED5">
        <w:rPr>
          <w:rFonts w:cstheme="majorBidi"/>
        </w:rPr>
        <w:t>consisting</w:t>
      </w:r>
      <w:r w:rsidRPr="00AD1AFD">
        <w:rPr>
          <w:rFonts w:cstheme="majorBidi"/>
        </w:rPr>
        <w:t xml:space="preserve"> of seven samples.</w:t>
      </w:r>
    </w:p>
    <w:p w14:paraId="29D56939" w14:textId="60358766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  <w:i/>
          <w:iCs/>
        </w:rPr>
      </w:pPr>
      <w:r w:rsidRPr="00AD1AFD">
        <w:rPr>
          <w:rFonts w:cstheme="majorBidi"/>
        </w:rPr>
        <w:t xml:space="preserve">Digital electronic balance (OHAUS GmbH- Switzerland) with precise accuracy of 0.0001 mg </w:t>
      </w:r>
      <w:r w:rsidR="00D62ED5">
        <w:rPr>
          <w:rFonts w:cstheme="majorBidi"/>
        </w:rPr>
        <w:t xml:space="preserve">was </w:t>
      </w:r>
      <w:r w:rsidRPr="00AD1AFD">
        <w:rPr>
          <w:rFonts w:cstheme="majorBidi"/>
        </w:rPr>
        <w:t>used to weigh the alginate powder and the amount of TiO</w:t>
      </w:r>
      <w:r w:rsidRPr="00AD1AFD">
        <w:rPr>
          <w:rFonts w:cstheme="majorBidi"/>
          <w:vertAlign w:val="subscript"/>
        </w:rPr>
        <w:t>2</w:t>
      </w:r>
      <w:r w:rsidRPr="00AD1AFD">
        <w:rPr>
          <w:rFonts w:cstheme="majorBidi"/>
        </w:rPr>
        <w:t>NPs powder.</w:t>
      </w:r>
    </w:p>
    <w:p w14:paraId="7B328A38" w14:textId="6ACFC293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>The samples were prepared by mixing the blend of both powders (</w:t>
      </w:r>
      <w:r w:rsidR="00D62ED5">
        <w:rPr>
          <w:rFonts w:cstheme="majorBidi"/>
        </w:rPr>
        <w:t>A</w:t>
      </w:r>
      <w:r w:rsidRPr="00AD1AFD">
        <w:rPr>
          <w:rFonts w:cstheme="majorBidi"/>
        </w:rPr>
        <w:t>lginate and TiO</w:t>
      </w:r>
      <w:r w:rsidRPr="00AD1AFD">
        <w:rPr>
          <w:rFonts w:cstheme="majorBidi"/>
          <w:vertAlign w:val="subscript"/>
        </w:rPr>
        <w:t>2</w:t>
      </w:r>
      <w:r w:rsidRPr="00AD1AFD">
        <w:rPr>
          <w:rFonts w:cstheme="majorBidi"/>
        </w:rPr>
        <w:t xml:space="preserve">NPs) with a premeasured volume of distilled water as recommended by the manufacturer by using </w:t>
      </w:r>
      <w:r w:rsidR="00D62ED5">
        <w:rPr>
          <w:rFonts w:cstheme="majorBidi"/>
        </w:rPr>
        <w:t xml:space="preserve">an </w:t>
      </w:r>
      <w:r w:rsidRPr="00AD1AFD">
        <w:rPr>
          <w:rFonts w:cstheme="majorBidi"/>
        </w:rPr>
        <w:t>automatic alginate mixer (</w:t>
      </w:r>
      <w:proofErr w:type="spellStart"/>
      <w:r w:rsidRPr="00AD1AFD">
        <w:rPr>
          <w:rFonts w:cstheme="majorBidi"/>
        </w:rPr>
        <w:t>Cavex</w:t>
      </w:r>
      <w:proofErr w:type="spellEnd"/>
      <w:r w:rsidRPr="00AD1AFD">
        <w:rPr>
          <w:rFonts w:cstheme="majorBidi"/>
        </w:rPr>
        <w:t>- Netherlands) for 10 seconds.</w:t>
      </w:r>
    </w:p>
    <w:p w14:paraId="5CED705E" w14:textId="77777777" w:rsidR="008760ED" w:rsidRPr="00D62ED5" w:rsidRDefault="008760ED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 w:rsidRPr="00D62ED5">
        <w:rPr>
          <w:rFonts w:cstheme="majorBidi"/>
          <w:b/>
          <w:bCs/>
        </w:rPr>
        <w:t>Antimicrobial test</w:t>
      </w:r>
    </w:p>
    <w:p w14:paraId="1BFCA0E4" w14:textId="2341A4BC" w:rsidR="008760ED" w:rsidRPr="00AD1AFD" w:rsidRDefault="00D62ED5" w:rsidP="00403379">
      <w:pPr>
        <w:spacing w:before="60" w:after="240" w:line="240" w:lineRule="auto"/>
        <w:ind w:firstLine="0"/>
        <w:rPr>
          <w:rFonts w:cstheme="majorBidi"/>
        </w:rPr>
      </w:pPr>
      <w:r>
        <w:rPr>
          <w:rFonts w:cstheme="majorBidi"/>
        </w:rPr>
        <w:t>A disc</w:t>
      </w:r>
      <w:r w:rsidR="008760ED" w:rsidRPr="00B22256">
        <w:rPr>
          <w:rFonts w:cstheme="majorBidi"/>
        </w:rPr>
        <w:t xml:space="preserve"> diffusion test was used to investigate the antimicrobial</w:t>
      </w:r>
      <w:r w:rsidR="008760ED" w:rsidRPr="00AD1AFD">
        <w:rPr>
          <w:rFonts w:cstheme="majorBidi"/>
        </w:rPr>
        <w:t xml:space="preserve"> activity released from the tested alginate specimens. For this purpose, two main oral pathogens namely </w:t>
      </w:r>
      <w:r w:rsidR="008760ED" w:rsidRPr="00AD1AFD">
        <w:rPr>
          <w:rFonts w:cstheme="majorBidi"/>
          <w:i/>
          <w:iCs/>
        </w:rPr>
        <w:t xml:space="preserve">S. </w:t>
      </w:r>
      <w:proofErr w:type="spellStart"/>
      <w:r w:rsidR="008760ED" w:rsidRPr="00AD1AFD">
        <w:rPr>
          <w:rFonts w:cstheme="majorBidi"/>
          <w:i/>
          <w:iCs/>
        </w:rPr>
        <w:t>mutans</w:t>
      </w:r>
      <w:proofErr w:type="spellEnd"/>
      <w:r w:rsidR="008760ED" w:rsidRPr="00AD1AFD">
        <w:rPr>
          <w:rFonts w:cstheme="majorBidi"/>
        </w:rPr>
        <w:t xml:space="preserve"> ATCC 25175 and </w:t>
      </w:r>
      <w:r w:rsidR="008760ED" w:rsidRPr="00AD1AFD">
        <w:rPr>
          <w:rFonts w:cstheme="majorBidi"/>
          <w:i/>
          <w:iCs/>
        </w:rPr>
        <w:t>C. albicans</w:t>
      </w:r>
      <w:r w:rsidR="008760ED" w:rsidRPr="00AD1AFD">
        <w:rPr>
          <w:rFonts w:cstheme="majorBidi"/>
        </w:rPr>
        <w:t xml:space="preserve"> ATCC 10231 yeasts were chosen.</w:t>
      </w:r>
    </w:p>
    <w:p w14:paraId="45B4FD08" w14:textId="04094509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B22256">
        <w:rPr>
          <w:rFonts w:cstheme="majorBidi"/>
        </w:rPr>
        <w:t xml:space="preserve">The </w:t>
      </w:r>
      <w:r w:rsidR="00D62ED5" w:rsidRPr="00D62ED5">
        <w:rPr>
          <w:rFonts w:cstheme="majorBidi"/>
          <w:i/>
          <w:iCs/>
        </w:rPr>
        <w:t xml:space="preserve">S. </w:t>
      </w:r>
      <w:proofErr w:type="spellStart"/>
      <w:r w:rsidR="00D62ED5" w:rsidRPr="00D62ED5">
        <w:rPr>
          <w:rFonts w:cstheme="majorBidi"/>
          <w:i/>
          <w:iCs/>
        </w:rPr>
        <w:t>mutans</w:t>
      </w:r>
      <w:proofErr w:type="spellEnd"/>
      <w:r w:rsidRPr="00B22256">
        <w:rPr>
          <w:rFonts w:cstheme="majorBidi"/>
        </w:rPr>
        <w:t xml:space="preserve"> bacteria </w:t>
      </w:r>
      <w:r w:rsidR="00D62ED5">
        <w:rPr>
          <w:rFonts w:cstheme="majorBidi"/>
        </w:rPr>
        <w:t>were</w:t>
      </w:r>
      <w:r w:rsidRPr="00B22256">
        <w:rPr>
          <w:rFonts w:cstheme="majorBidi"/>
        </w:rPr>
        <w:t xml:space="preserve"> cultivated on blood agar</w:t>
      </w:r>
      <w:r w:rsidRPr="00AD1AFD">
        <w:rPr>
          <w:rFonts w:cstheme="majorBidi"/>
        </w:rPr>
        <w:t xml:space="preserve"> media. The culture media was prepared according to the recommended protocol for </w:t>
      </w:r>
      <w:r w:rsidR="00D62ED5" w:rsidRPr="00AD1AFD">
        <w:rPr>
          <w:rFonts w:cstheme="majorBidi"/>
          <w:i/>
          <w:iCs/>
        </w:rPr>
        <w:t xml:space="preserve">S. </w:t>
      </w:r>
      <w:proofErr w:type="spellStart"/>
      <w:r w:rsidR="00D62ED5" w:rsidRPr="00AD1AFD">
        <w:rPr>
          <w:rFonts w:cstheme="majorBidi"/>
          <w:i/>
          <w:iCs/>
        </w:rPr>
        <w:t>mutans</w:t>
      </w:r>
      <w:proofErr w:type="spellEnd"/>
      <w:r w:rsidR="00D62ED5">
        <w:rPr>
          <w:rFonts w:cstheme="majorBidi"/>
        </w:rPr>
        <w:t>. S</w:t>
      </w:r>
      <w:r w:rsidRPr="00AD1AFD">
        <w:rPr>
          <w:rFonts w:cstheme="majorBidi"/>
        </w:rPr>
        <w:t xml:space="preserve">even </w:t>
      </w:r>
      <w:r w:rsidR="00D62ED5">
        <w:rPr>
          <w:rFonts w:cstheme="majorBidi"/>
        </w:rPr>
        <w:t>Petri</w:t>
      </w:r>
      <w:r w:rsidRPr="00AD1AFD">
        <w:rPr>
          <w:rFonts w:cstheme="majorBidi"/>
        </w:rPr>
        <w:t xml:space="preserve"> dishes were used, </w:t>
      </w:r>
      <w:r w:rsidR="00D62ED5">
        <w:rPr>
          <w:rFonts w:cstheme="majorBidi"/>
        </w:rPr>
        <w:t xml:space="preserve">and </w:t>
      </w:r>
      <w:r w:rsidRPr="00AD1AFD">
        <w:rPr>
          <w:rFonts w:cstheme="majorBidi"/>
        </w:rPr>
        <w:t xml:space="preserve">in each petri dish, four specimens were placed </w:t>
      </w:r>
      <w:r w:rsidR="00D62ED5">
        <w:rPr>
          <w:rFonts w:cstheme="majorBidi"/>
        </w:rPr>
        <w:t>at</w:t>
      </w:r>
      <w:r w:rsidRPr="00AD1AFD">
        <w:rPr>
          <w:rFonts w:cstheme="majorBidi"/>
        </w:rPr>
        <w:t xml:space="preserve"> equal </w:t>
      </w:r>
      <w:r w:rsidR="004E39B0">
        <w:rPr>
          <w:rFonts w:cstheme="majorBidi"/>
        </w:rPr>
        <w:t>distances</w:t>
      </w:r>
      <w:r w:rsidRPr="00AD1AFD">
        <w:rPr>
          <w:rFonts w:cstheme="majorBidi"/>
        </w:rPr>
        <w:t xml:space="preserve"> from each other, marked with </w:t>
      </w:r>
      <w:r w:rsidR="00D62ED5">
        <w:rPr>
          <w:rFonts w:cstheme="majorBidi"/>
        </w:rPr>
        <w:t>numbers</w:t>
      </w:r>
      <w:r w:rsidRPr="00AD1AFD">
        <w:rPr>
          <w:rFonts w:cstheme="majorBidi"/>
        </w:rPr>
        <w:t xml:space="preserve"> 1, 2, 3 and 4 representing the control, 2%, 3% and 5% groups respectively and incubated aerobically at 37°C for 24 hours.</w:t>
      </w:r>
    </w:p>
    <w:p w14:paraId="4B5BEA35" w14:textId="56B1D72D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 xml:space="preserve">For the </w:t>
      </w:r>
      <w:r w:rsidR="004E39B0" w:rsidRPr="00AD1AFD">
        <w:rPr>
          <w:rFonts w:cstheme="majorBidi"/>
          <w:i/>
          <w:iCs/>
        </w:rPr>
        <w:t>C. albicans</w:t>
      </w:r>
      <w:r w:rsidRPr="00AD1AFD">
        <w:rPr>
          <w:rFonts w:cstheme="majorBidi"/>
          <w:i/>
          <w:iCs/>
        </w:rPr>
        <w:t xml:space="preserve"> </w:t>
      </w:r>
      <w:r w:rsidRPr="00AD1AFD">
        <w:rPr>
          <w:rFonts w:cstheme="majorBidi"/>
        </w:rPr>
        <w:t xml:space="preserve">ATCC 10231, </w:t>
      </w:r>
      <w:proofErr w:type="spellStart"/>
      <w:r w:rsidRPr="00AD1AFD">
        <w:rPr>
          <w:rFonts w:cstheme="majorBidi"/>
        </w:rPr>
        <w:t>Sabouraud</w:t>
      </w:r>
      <w:proofErr w:type="spellEnd"/>
      <w:r w:rsidRPr="00AD1AFD">
        <w:rPr>
          <w:rFonts w:cstheme="majorBidi"/>
        </w:rPr>
        <w:t xml:space="preserve"> Dextrose Agar was used for growing and cultivation</w:t>
      </w:r>
      <w:r w:rsidRPr="00AD1AFD">
        <w:rPr>
          <w:rFonts w:cstheme="majorBidi"/>
          <w:vertAlign w:val="superscript"/>
        </w:rPr>
        <w:t>21</w:t>
      </w:r>
      <w:r w:rsidRPr="00AD1AFD">
        <w:rPr>
          <w:rFonts w:cstheme="majorBidi"/>
        </w:rPr>
        <w:t xml:space="preserve">. The protocols from Antifungal susceptibility testing of </w:t>
      </w:r>
      <w:r w:rsidR="004E39B0">
        <w:rPr>
          <w:rFonts w:cstheme="majorBidi"/>
        </w:rPr>
        <w:t xml:space="preserve">the </w:t>
      </w:r>
      <w:r w:rsidRPr="00AD1AFD">
        <w:rPr>
          <w:rFonts w:cstheme="majorBidi"/>
        </w:rPr>
        <w:t xml:space="preserve">National Committee for Clinical Laboratory Standards (NCCLS) and Manual of Antimicrobial Susceptibility Testing </w:t>
      </w:r>
      <w:r w:rsidR="004E39B0">
        <w:rPr>
          <w:rFonts w:cstheme="majorBidi"/>
        </w:rPr>
        <w:t>were</w:t>
      </w:r>
      <w:r w:rsidRPr="00AD1AFD">
        <w:rPr>
          <w:rFonts w:cstheme="majorBidi"/>
        </w:rPr>
        <w:t xml:space="preserve"> followed</w:t>
      </w:r>
      <w:r w:rsidRPr="00AD1AFD">
        <w:rPr>
          <w:rFonts w:cstheme="majorBidi"/>
          <w:vertAlign w:val="superscript"/>
        </w:rPr>
        <w:t>22,23</w:t>
      </w:r>
      <w:r w:rsidRPr="00AD1AFD">
        <w:rPr>
          <w:rFonts w:cstheme="majorBidi"/>
        </w:rPr>
        <w:t xml:space="preserve">. The seven </w:t>
      </w:r>
      <w:r w:rsidR="00A63475">
        <w:rPr>
          <w:rFonts w:cstheme="majorBidi"/>
        </w:rPr>
        <w:t>Petri</w:t>
      </w:r>
      <w:r w:rsidRPr="00AD1AFD">
        <w:rPr>
          <w:rFonts w:cstheme="majorBidi"/>
        </w:rPr>
        <w:t xml:space="preserve"> dishes containing samples were incubated for 24 hours.</w:t>
      </w:r>
    </w:p>
    <w:p w14:paraId="2034C5FA" w14:textId="77777777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>The measurement of inhibition zones for both pathogens was performed using scientific image analysis known as Image J software</w:t>
      </w:r>
      <w:r w:rsidRPr="00AD1AFD">
        <w:rPr>
          <w:rFonts w:cstheme="majorBidi"/>
          <w:vertAlign w:val="superscript"/>
        </w:rPr>
        <w:t>24</w:t>
      </w:r>
      <w:r w:rsidRPr="00AD1AFD">
        <w:rPr>
          <w:rFonts w:cstheme="majorBidi"/>
        </w:rPr>
        <w:t>.</w:t>
      </w:r>
    </w:p>
    <w:p w14:paraId="239BCFAE" w14:textId="354DA23C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 xml:space="preserve">After completion of 24 hours incubation, the </w:t>
      </w:r>
      <w:r w:rsidR="00A63475">
        <w:rPr>
          <w:rFonts w:cstheme="majorBidi"/>
        </w:rPr>
        <w:t>P</w:t>
      </w:r>
      <w:r w:rsidRPr="00AD1AFD">
        <w:rPr>
          <w:rFonts w:cstheme="majorBidi"/>
        </w:rPr>
        <w:t xml:space="preserve">etri dishes were taken out from the incubator, and images were taken at 90º with a reference of a ruler for calibration of image J software. Inhibition zones were </w:t>
      </w:r>
      <w:r w:rsidR="00A63475">
        <w:rPr>
          <w:rFonts w:cstheme="majorBidi"/>
        </w:rPr>
        <w:t>measured</w:t>
      </w:r>
      <w:r w:rsidRPr="00AD1AFD">
        <w:rPr>
          <w:rFonts w:cstheme="majorBidi"/>
        </w:rPr>
        <w:t xml:space="preserve"> around the ingots at six different positions.</w:t>
      </w:r>
    </w:p>
    <w:p w14:paraId="2B7B011B" w14:textId="5686C5AC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 xml:space="preserve">For the entire procedure, </w:t>
      </w:r>
      <w:r w:rsidR="00A63475">
        <w:rPr>
          <w:rFonts w:cstheme="majorBidi"/>
        </w:rPr>
        <w:t xml:space="preserve">the </w:t>
      </w:r>
      <w:r w:rsidRPr="00AD1AFD">
        <w:rPr>
          <w:rFonts w:cstheme="majorBidi"/>
        </w:rPr>
        <w:t xml:space="preserve">working environment was conditioned under Bio air Top safe with continuous air ventilation and </w:t>
      </w:r>
      <w:r w:rsidR="00A63475">
        <w:rPr>
          <w:rFonts w:cstheme="majorBidi"/>
        </w:rPr>
        <w:t xml:space="preserve">a </w:t>
      </w:r>
      <w:r w:rsidRPr="00AD1AFD">
        <w:rPr>
          <w:rFonts w:cstheme="majorBidi"/>
        </w:rPr>
        <w:t>Bunsen burner that was turned on near the working field to prevent contamination of the testing components by airborne pollutants</w:t>
      </w:r>
      <w:r w:rsidRPr="00AD1AFD">
        <w:rPr>
          <w:rFonts w:cstheme="majorBidi"/>
          <w:vertAlign w:val="superscript"/>
        </w:rPr>
        <w:t>25.26</w:t>
      </w:r>
      <w:r w:rsidRPr="00AD1AFD">
        <w:rPr>
          <w:rFonts w:cstheme="majorBidi"/>
        </w:rPr>
        <w:t xml:space="preserve">.  </w:t>
      </w:r>
    </w:p>
    <w:p w14:paraId="28E639CF" w14:textId="77777777" w:rsidR="008760ED" w:rsidRPr="00A63475" w:rsidRDefault="008760ED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 w:rsidRPr="00A63475">
        <w:rPr>
          <w:rFonts w:cstheme="majorBidi"/>
          <w:b/>
          <w:bCs/>
        </w:rPr>
        <w:t xml:space="preserve">Surface detail reproduction </w:t>
      </w:r>
    </w:p>
    <w:p w14:paraId="23447B3D" w14:textId="2E0BF2D8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>A stainless-steel die with three scribed parallel lines ISO 21563: 2021</w:t>
      </w:r>
      <w:r w:rsidRPr="00AD1AFD">
        <w:rPr>
          <w:rFonts w:cstheme="majorBidi"/>
          <w:vertAlign w:val="superscript"/>
        </w:rPr>
        <w:t>27</w:t>
      </w:r>
      <w:r w:rsidRPr="00AD1AFD">
        <w:rPr>
          <w:rFonts w:cstheme="majorBidi"/>
        </w:rPr>
        <w:t xml:space="preserve"> </w:t>
      </w:r>
      <w:r w:rsidR="00A63475">
        <w:rPr>
          <w:rFonts w:cstheme="majorBidi"/>
        </w:rPr>
        <w:t xml:space="preserve">is </w:t>
      </w:r>
      <w:r w:rsidRPr="00AD1AFD">
        <w:rPr>
          <w:rFonts w:cstheme="majorBidi"/>
        </w:rPr>
        <w:t xml:space="preserve">used for surface detail reproduction. The widths of these lines were 20-μm, 50-μm and 75-μm respectively. A stainless-steel ring was </w:t>
      </w:r>
      <w:r w:rsidRPr="00AD1AFD">
        <w:rPr>
          <w:rFonts w:cstheme="majorBidi"/>
        </w:rPr>
        <w:lastRenderedPageBreak/>
        <w:t xml:space="preserve">placed on top of the steel die; the mixed alginate was poured inside the ring over the testing </w:t>
      </w:r>
      <w:r w:rsidR="00A63475">
        <w:rPr>
          <w:rFonts w:cstheme="majorBidi"/>
        </w:rPr>
        <w:t>mould</w:t>
      </w:r>
      <w:r w:rsidRPr="00AD1AFD">
        <w:rPr>
          <w:rFonts w:cstheme="majorBidi"/>
        </w:rPr>
        <w:t xml:space="preserve">. A glass slab was then placed on top of the ring and a one-kilogram weight was positioned upon the slab for 10 minutes. Then, the samples were carefully removed from the </w:t>
      </w:r>
      <w:r w:rsidR="00A63475">
        <w:rPr>
          <w:rFonts w:cstheme="majorBidi"/>
        </w:rPr>
        <w:t>mould</w:t>
      </w:r>
      <w:r w:rsidRPr="00AD1AFD">
        <w:rPr>
          <w:rFonts w:cstheme="majorBidi"/>
        </w:rPr>
        <w:t xml:space="preserve"> and immediately examined with a digital </w:t>
      </w:r>
      <w:r w:rsidRPr="004C0749">
        <w:rPr>
          <w:rFonts w:cstheme="majorBidi"/>
        </w:rPr>
        <w:t xml:space="preserve">microscope </w:t>
      </w:r>
      <w:r w:rsidRPr="004C0749">
        <w:rPr>
          <w:rStyle w:val="Strong"/>
          <w:rFonts w:cstheme="majorBidi"/>
          <w:b w:val="0"/>
          <w:bCs w:val="0"/>
          <w:color w:val="000000" w:themeColor="text1"/>
        </w:rPr>
        <w:t>UM012C</w:t>
      </w:r>
      <w:r w:rsidRPr="004C0749">
        <w:rPr>
          <w:rFonts w:cstheme="majorBidi"/>
        </w:rPr>
        <w:t xml:space="preserve"> (5M 300X with 8 LEDs- China</w:t>
      </w:r>
      <w:r w:rsidRPr="00AD1AFD">
        <w:rPr>
          <w:rFonts w:cstheme="majorBidi"/>
        </w:rPr>
        <w:t xml:space="preserve">). Prior to </w:t>
      </w:r>
      <w:r w:rsidR="00A63475">
        <w:rPr>
          <w:rFonts w:cstheme="majorBidi"/>
        </w:rPr>
        <w:t xml:space="preserve">the </w:t>
      </w:r>
      <w:r w:rsidRPr="00AD1AFD">
        <w:rPr>
          <w:rFonts w:cstheme="majorBidi"/>
        </w:rPr>
        <w:t>measurement procedure, the microscope eyepieces lens was calibrated for precise measurements of the samples.</w:t>
      </w:r>
    </w:p>
    <w:p w14:paraId="1538A01D" w14:textId="3C9713CA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 xml:space="preserve">Specimens were reported to either pass (1) or fail (0) the test based on their ability to capture </w:t>
      </w:r>
      <w:r w:rsidR="00A63475">
        <w:rPr>
          <w:rFonts w:cstheme="majorBidi"/>
        </w:rPr>
        <w:t xml:space="preserve">the </w:t>
      </w:r>
      <w:r w:rsidRPr="00AD1AFD">
        <w:rPr>
          <w:rFonts w:cstheme="majorBidi"/>
        </w:rPr>
        <w:t xml:space="preserve">entire length of the scribed 20-um line </w:t>
      </w:r>
      <w:r w:rsidRPr="00AD1AFD">
        <w:rPr>
          <w:rFonts w:eastAsia="TimesNewRomanPSMT" w:cstheme="majorBidi"/>
        </w:rPr>
        <w:t>over the full length of 25mm distance between the cross line</w:t>
      </w:r>
      <w:r w:rsidRPr="00AD1AFD">
        <w:rPr>
          <w:rFonts w:eastAsia="TimesNewRomanPSMT" w:cstheme="majorBidi"/>
          <w:vertAlign w:val="superscript"/>
        </w:rPr>
        <w:t>27,28</w:t>
      </w:r>
      <w:r w:rsidRPr="00AD1AFD">
        <w:rPr>
          <w:rFonts w:eastAsia="TimesNewRomanPSMT" w:cstheme="majorBidi"/>
        </w:rPr>
        <w:t>. The surfaces were assessed according to the ranking system established by Owen</w:t>
      </w:r>
      <w:r w:rsidRPr="00AD1AFD">
        <w:rPr>
          <w:rFonts w:eastAsia="TimesNewRomanPSMT" w:cstheme="majorBidi"/>
          <w:vertAlign w:val="superscript"/>
        </w:rPr>
        <w:t>29</w:t>
      </w:r>
      <w:r w:rsidRPr="00AD1AFD">
        <w:rPr>
          <w:rFonts w:cstheme="majorBidi"/>
        </w:rPr>
        <w:t xml:space="preserve"> </w:t>
      </w:r>
      <w:r w:rsidRPr="00AD1AFD">
        <w:rPr>
          <w:rFonts w:eastAsia="TimesNewRomanPSMT" w:cstheme="majorBidi"/>
        </w:rPr>
        <w:t>which are:</w:t>
      </w:r>
    </w:p>
    <w:p w14:paraId="386340EB" w14:textId="17CB8B32" w:rsidR="008760ED" w:rsidRPr="00AD1AFD" w:rsidRDefault="008760ED" w:rsidP="00403379">
      <w:pPr>
        <w:spacing w:before="60" w:after="240" w:line="240" w:lineRule="auto"/>
        <w:ind w:firstLine="0"/>
        <w:rPr>
          <w:rFonts w:eastAsia="TimesNewRomanPSMT" w:cstheme="majorBidi"/>
        </w:rPr>
      </w:pPr>
      <w:r w:rsidRPr="00AD1AFD">
        <w:rPr>
          <w:rFonts w:eastAsia="TimesNewRomanPSMT" w:cstheme="majorBidi"/>
        </w:rPr>
        <w:t xml:space="preserve">Score 1: Line reproduced clearly and sharply over </w:t>
      </w:r>
      <w:r w:rsidR="00A63475">
        <w:rPr>
          <w:rFonts w:eastAsia="TimesNewRomanPSMT" w:cstheme="majorBidi"/>
        </w:rPr>
        <w:t xml:space="preserve">the </w:t>
      </w:r>
      <w:r w:rsidRPr="00AD1AFD">
        <w:rPr>
          <w:rFonts w:eastAsia="TimesNewRomanPSMT" w:cstheme="majorBidi"/>
        </w:rPr>
        <w:t>entire length between the marks.</w:t>
      </w:r>
    </w:p>
    <w:p w14:paraId="52BE3CAE" w14:textId="77777777" w:rsidR="008760ED" w:rsidRPr="00AD1AFD" w:rsidRDefault="008760ED" w:rsidP="00403379">
      <w:pPr>
        <w:spacing w:before="60" w:after="240" w:line="240" w:lineRule="auto"/>
        <w:ind w:firstLine="0"/>
        <w:rPr>
          <w:rFonts w:eastAsia="TimesNewRomanPSMT" w:cstheme="majorBidi"/>
        </w:rPr>
      </w:pPr>
      <w:r w:rsidRPr="00AD1AFD">
        <w:rPr>
          <w:rFonts w:eastAsia="TimesNewRomanPSMT" w:cstheme="majorBidi"/>
        </w:rPr>
        <w:t>Score 2: Line clear over more than 50% of length, or line indistinct over less than 50% of length, the line appears to be reproduced well over the entire length, but not sharply.</w:t>
      </w:r>
    </w:p>
    <w:p w14:paraId="672AB9B9" w14:textId="76A7BB6D" w:rsidR="008760ED" w:rsidRPr="00AD1AFD" w:rsidRDefault="008760ED" w:rsidP="00403379">
      <w:pPr>
        <w:spacing w:before="60" w:after="240" w:line="240" w:lineRule="auto"/>
        <w:ind w:firstLine="0"/>
        <w:rPr>
          <w:rFonts w:eastAsia="TimesNewRomanPSMT" w:cstheme="majorBidi"/>
        </w:rPr>
      </w:pPr>
      <w:r w:rsidRPr="00AD1AFD">
        <w:rPr>
          <w:rFonts w:eastAsia="TimesNewRomanPSMT" w:cstheme="majorBidi"/>
        </w:rPr>
        <w:t>Score 3: Line clear over less than 50% of length, line indistinct over more than 50% of length, or line visible over entire length but blemished not sharp.</w:t>
      </w:r>
    </w:p>
    <w:p w14:paraId="6D23D83A" w14:textId="54D37981" w:rsidR="008760ED" w:rsidRPr="00AD1AFD" w:rsidRDefault="008760ED" w:rsidP="00403379">
      <w:pPr>
        <w:spacing w:before="60" w:after="240" w:line="240" w:lineRule="auto"/>
        <w:ind w:firstLine="0"/>
        <w:rPr>
          <w:rFonts w:eastAsia="TimesNewRomanPSMT" w:cstheme="majorBidi"/>
        </w:rPr>
      </w:pPr>
      <w:r w:rsidRPr="00AD1AFD">
        <w:rPr>
          <w:rFonts w:eastAsia="TimesNewRomanPSMT" w:cstheme="majorBidi"/>
        </w:rPr>
        <w:t xml:space="preserve">Score 4: Line is not reproduced over </w:t>
      </w:r>
      <w:r w:rsidR="00A63475">
        <w:rPr>
          <w:rFonts w:eastAsia="TimesNewRomanPSMT" w:cstheme="majorBidi"/>
        </w:rPr>
        <w:t xml:space="preserve">the </w:t>
      </w:r>
      <w:r w:rsidRPr="00AD1AFD">
        <w:rPr>
          <w:rFonts w:eastAsia="TimesNewRomanPSMT" w:cstheme="majorBidi"/>
        </w:rPr>
        <w:t>entire length; rough, blemished, pitted.</w:t>
      </w:r>
    </w:p>
    <w:p w14:paraId="132B2A1A" w14:textId="77777777" w:rsidR="008760ED" w:rsidRPr="00A63475" w:rsidRDefault="008760ED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 w:rsidRPr="00A63475">
        <w:rPr>
          <w:rFonts w:cstheme="majorBidi"/>
          <w:b/>
          <w:bCs/>
        </w:rPr>
        <w:t xml:space="preserve">Statistical analysis </w:t>
      </w:r>
    </w:p>
    <w:p w14:paraId="79FAD2D3" w14:textId="3CF067CB" w:rsidR="008760ED" w:rsidRPr="00AD1AFD" w:rsidRDefault="008760ED" w:rsidP="00403379">
      <w:pPr>
        <w:shd w:val="clear" w:color="auto" w:fill="FFFFFF"/>
        <w:spacing w:before="60" w:after="240" w:line="240" w:lineRule="auto"/>
        <w:ind w:firstLine="0"/>
        <w:rPr>
          <w:rFonts w:eastAsia="Times New Roman" w:cstheme="majorBidi"/>
        </w:rPr>
      </w:pPr>
      <w:r w:rsidRPr="00AD1AFD">
        <w:rPr>
          <w:rFonts w:cstheme="majorBidi"/>
        </w:rPr>
        <w:t xml:space="preserve">Statistical Package for Social Sciences (SPSS, version 23.0) and Microsoft Office Excel </w:t>
      </w:r>
      <w:r w:rsidR="00A63475">
        <w:rPr>
          <w:rFonts w:cstheme="majorBidi"/>
        </w:rPr>
        <w:t>were</w:t>
      </w:r>
      <w:r w:rsidRPr="00AD1AFD">
        <w:rPr>
          <w:rFonts w:cstheme="majorBidi"/>
        </w:rPr>
        <w:t xml:space="preserve"> used for statistical analysis. </w:t>
      </w:r>
      <w:r w:rsidRPr="00AD1AFD">
        <w:rPr>
          <w:rFonts w:cstheme="majorBidi"/>
          <w:color w:val="2C3E50"/>
          <w:shd w:val="clear" w:color="auto" w:fill="FFFFFF"/>
        </w:rPr>
        <w:t xml:space="preserve">Descriptive statistics for frequency, mean, </w:t>
      </w:r>
      <w:r w:rsidR="00A63475">
        <w:rPr>
          <w:rFonts w:cstheme="majorBidi"/>
          <w:color w:val="2C3E50"/>
          <w:shd w:val="clear" w:color="auto" w:fill="FFFFFF"/>
        </w:rPr>
        <w:t xml:space="preserve">and </w:t>
      </w:r>
      <w:r w:rsidRPr="00AD1AFD">
        <w:rPr>
          <w:rFonts w:cstheme="majorBidi"/>
          <w:color w:val="2C3E50"/>
          <w:shd w:val="clear" w:color="auto" w:fill="FFFFFF"/>
        </w:rPr>
        <w:t xml:space="preserve">standard deviation. </w:t>
      </w:r>
      <w:r w:rsidRPr="00AD1AFD">
        <w:rPr>
          <w:rFonts w:cstheme="majorBidi"/>
          <w:shd w:val="clear" w:color="auto" w:fill="FFFFFF"/>
        </w:rPr>
        <w:t>Student T-test was used for comparisons between two independent groups,</w:t>
      </w:r>
      <w:r w:rsidRPr="00AD1AFD">
        <w:rPr>
          <w:rFonts w:cstheme="majorBidi"/>
          <w:color w:val="2C3E50"/>
          <w:shd w:val="clear" w:color="auto" w:fill="FFFFFF"/>
        </w:rPr>
        <w:t xml:space="preserve"> in addition to</w:t>
      </w:r>
      <w:r w:rsidRPr="00AD1AFD">
        <w:rPr>
          <w:rFonts w:cstheme="majorBidi"/>
        </w:rPr>
        <w:t xml:space="preserve"> One-way ANOVA and post hoc test</w:t>
      </w:r>
      <w:r w:rsidRPr="00AD1AFD">
        <w:rPr>
          <w:rFonts w:eastAsia="Times New Roman" w:cstheme="majorBidi"/>
        </w:rPr>
        <w:t xml:space="preserve"> for multiple </w:t>
      </w:r>
      <w:r w:rsidR="00A63475">
        <w:rPr>
          <w:rFonts w:eastAsia="Times New Roman" w:cstheme="majorBidi"/>
        </w:rPr>
        <w:t>comparisons</w:t>
      </w:r>
      <w:r w:rsidRPr="00AD1AFD">
        <w:rPr>
          <w:rFonts w:eastAsia="Times New Roman" w:cstheme="majorBidi"/>
        </w:rPr>
        <w:t>. The p&lt;0.05 value was considered statistically significant.</w:t>
      </w:r>
    </w:p>
    <w:p w14:paraId="2676EF60" w14:textId="77777777" w:rsidR="008760ED" w:rsidRPr="00AD1AFD" w:rsidRDefault="008760ED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 w:rsidRPr="00AD1AFD">
        <w:rPr>
          <w:rFonts w:cstheme="majorBidi"/>
          <w:b/>
          <w:bCs/>
        </w:rPr>
        <w:t>Results</w:t>
      </w:r>
    </w:p>
    <w:p w14:paraId="3BCA0021" w14:textId="428CA275" w:rsidR="008760ED" w:rsidRPr="00AD1AFD" w:rsidRDefault="000B5DC6" w:rsidP="000B5DC6">
      <w:pPr>
        <w:spacing w:before="60" w:after="240" w:line="240" w:lineRule="auto"/>
        <w:ind w:firstLine="300"/>
        <w:rPr>
          <w:rFonts w:cstheme="majorBidi"/>
        </w:rPr>
      </w:pPr>
      <w:r>
        <w:rPr>
          <w:rFonts w:cstheme="majorBidi"/>
        </w:rPr>
        <w:t xml:space="preserve"> </w:t>
      </w:r>
      <w:r w:rsidR="008760ED" w:rsidRPr="00AD1AFD">
        <w:rPr>
          <w:rFonts w:cstheme="majorBidi"/>
        </w:rPr>
        <w:t xml:space="preserve">The obtained results from </w:t>
      </w:r>
      <w:r w:rsidR="00A63475">
        <w:rPr>
          <w:rFonts w:cstheme="majorBidi"/>
        </w:rPr>
        <w:t xml:space="preserve">the </w:t>
      </w:r>
      <w:r w:rsidR="008760ED" w:rsidRPr="00AD1AFD">
        <w:rPr>
          <w:rFonts w:cstheme="majorBidi"/>
        </w:rPr>
        <w:t>antimicrobial test showed that the control group exhibited the least antimicrobial activity; furthermore, it was observed that the inhibitory effect against both pathogens was directly linked to the increase in the concentration of TiO</w:t>
      </w:r>
      <w:r w:rsidR="008760ED" w:rsidRPr="00AD1AFD">
        <w:rPr>
          <w:rFonts w:cstheme="majorBidi"/>
          <w:vertAlign w:val="subscript"/>
        </w:rPr>
        <w:t>2</w:t>
      </w:r>
      <w:r w:rsidR="008760ED" w:rsidRPr="00AD1AFD">
        <w:rPr>
          <w:rFonts w:cstheme="majorBidi"/>
        </w:rPr>
        <w:t xml:space="preserve">NPs as shown in </w:t>
      </w:r>
      <w:r w:rsidR="00A63475">
        <w:rPr>
          <w:rFonts w:cstheme="majorBidi"/>
        </w:rPr>
        <w:t>F</w:t>
      </w:r>
      <w:r w:rsidR="00ED69CE">
        <w:rPr>
          <w:rFonts w:cstheme="majorBidi"/>
        </w:rPr>
        <w:t>i</w:t>
      </w:r>
      <w:r w:rsidR="008760ED" w:rsidRPr="00AD1AFD">
        <w:rPr>
          <w:rFonts w:cstheme="majorBidi"/>
        </w:rPr>
        <w:t>gure (4)</w:t>
      </w:r>
    </w:p>
    <w:p w14:paraId="785A8C9F" w14:textId="1BB7CD9A" w:rsidR="00C81DD6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AD1AFD">
        <w:rPr>
          <w:rFonts w:cstheme="majorBidi"/>
        </w:rPr>
        <w:t xml:space="preserve">The inhibitory effect of the modified alginate against </w:t>
      </w:r>
      <w:r w:rsidR="00A63475" w:rsidRPr="00AD1AFD">
        <w:rPr>
          <w:rFonts w:cstheme="majorBidi"/>
          <w:i/>
          <w:iCs/>
        </w:rPr>
        <w:t xml:space="preserve">S. </w:t>
      </w:r>
      <w:proofErr w:type="spellStart"/>
      <w:r w:rsidR="00A63475" w:rsidRPr="00AD1AFD">
        <w:rPr>
          <w:rFonts w:cstheme="majorBidi"/>
          <w:i/>
          <w:iCs/>
        </w:rPr>
        <w:t>mutans</w:t>
      </w:r>
      <w:proofErr w:type="spellEnd"/>
      <w:r w:rsidRPr="00AD1AFD">
        <w:rPr>
          <w:rFonts w:cstheme="majorBidi"/>
        </w:rPr>
        <w:t xml:space="preserve"> was more dominant compared to </w:t>
      </w:r>
      <w:r w:rsidR="00A63475" w:rsidRPr="00AD1AFD">
        <w:rPr>
          <w:rFonts w:cstheme="majorBidi"/>
          <w:i/>
          <w:iCs/>
        </w:rPr>
        <w:t>C. albicans</w:t>
      </w:r>
      <w:r w:rsidRPr="00AD1AFD">
        <w:rPr>
          <w:rFonts w:cstheme="majorBidi"/>
        </w:rPr>
        <w:t xml:space="preserve"> </w:t>
      </w:r>
      <w:r w:rsidR="00A63475">
        <w:rPr>
          <w:rFonts w:cstheme="majorBidi"/>
        </w:rPr>
        <w:t>which</w:t>
      </w:r>
      <w:r w:rsidRPr="00AD1AFD">
        <w:rPr>
          <w:rFonts w:cstheme="majorBidi"/>
        </w:rPr>
        <w:t xml:space="preserve"> </w:t>
      </w:r>
      <w:r w:rsidR="00ED69CE" w:rsidRPr="00AD1AFD">
        <w:rPr>
          <w:rFonts w:cstheme="majorBidi"/>
        </w:rPr>
        <w:t>revealed</w:t>
      </w:r>
      <w:r w:rsidRPr="00AD1AFD">
        <w:rPr>
          <w:rFonts w:cstheme="majorBidi"/>
        </w:rPr>
        <w:t xml:space="preserve"> higher resistance to the added TiO</w:t>
      </w:r>
      <w:r w:rsidRPr="00AD1AFD">
        <w:rPr>
          <w:rFonts w:cstheme="majorBidi"/>
          <w:vertAlign w:val="subscript"/>
        </w:rPr>
        <w:t>2</w:t>
      </w:r>
      <w:r w:rsidRPr="00AD1AFD">
        <w:rPr>
          <w:rFonts w:cstheme="majorBidi"/>
        </w:rPr>
        <w:t>NPs at the same concentrations.</w:t>
      </w:r>
    </w:p>
    <w:p w14:paraId="4A45EE3C" w14:textId="5C1BCF51" w:rsidR="008760ED" w:rsidRDefault="008760ED" w:rsidP="008760ED">
      <w:pPr>
        <w:spacing w:before="240" w:after="60"/>
        <w:ind w:firstLine="300"/>
        <w:jc w:val="center"/>
      </w:pPr>
      <w:r w:rsidRPr="008760ED">
        <w:rPr>
          <w:rFonts w:cstheme="majorBidi"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1ED3763" wp14:editId="452881CE">
            <wp:simplePos x="0" y="0"/>
            <wp:positionH relativeFrom="column">
              <wp:posOffset>922867</wp:posOffset>
            </wp:positionH>
            <wp:positionV relativeFrom="paragraph">
              <wp:posOffset>104352</wp:posOffset>
            </wp:positionV>
            <wp:extent cx="5136515" cy="1655234"/>
            <wp:effectExtent l="0" t="0" r="6985" b="2540"/>
            <wp:wrapTight wrapText="bothSides">
              <wp:wrapPolygon edited="0">
                <wp:start x="0" y="0"/>
                <wp:lineTo x="0" y="21384"/>
                <wp:lineTo x="21549" y="21384"/>
                <wp:lineTo x="21549" y="0"/>
                <wp:lineTo x="0" y="0"/>
              </wp:wrapPolygon>
            </wp:wrapTight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3D46896D" w14:textId="41A09ED4" w:rsidR="008760ED" w:rsidRDefault="008760ED" w:rsidP="00403379">
      <w:pPr>
        <w:jc w:val="center"/>
        <w:rPr>
          <w:rFonts w:cstheme="majorBidi"/>
        </w:rPr>
      </w:pPr>
      <w:r w:rsidRPr="00B22256">
        <w:rPr>
          <w:rFonts w:cstheme="majorBidi"/>
          <w:b/>
          <w:bCs/>
        </w:rPr>
        <w:t>Figure 4</w:t>
      </w:r>
      <w:r w:rsidRPr="008760ED">
        <w:rPr>
          <w:rFonts w:cstheme="majorBidi"/>
        </w:rPr>
        <w:t xml:space="preserve">: Mean inhibition zone for </w:t>
      </w:r>
      <w:r w:rsidR="00ED69CE" w:rsidRPr="008760ED">
        <w:rPr>
          <w:rFonts w:cstheme="majorBidi"/>
          <w:i/>
          <w:iCs/>
        </w:rPr>
        <w:t xml:space="preserve">S. </w:t>
      </w:r>
      <w:proofErr w:type="spellStart"/>
      <w:r w:rsidR="00ED69CE" w:rsidRPr="008760ED">
        <w:rPr>
          <w:rFonts w:cstheme="majorBidi"/>
          <w:i/>
          <w:iCs/>
        </w:rPr>
        <w:t>mutans</w:t>
      </w:r>
      <w:proofErr w:type="spellEnd"/>
      <w:r w:rsidRPr="008760ED">
        <w:rPr>
          <w:rFonts w:cstheme="majorBidi"/>
        </w:rPr>
        <w:t xml:space="preserve"> and </w:t>
      </w:r>
      <w:proofErr w:type="spellStart"/>
      <w:r w:rsidRPr="008760ED">
        <w:rPr>
          <w:rFonts w:cstheme="majorBidi"/>
          <w:i/>
          <w:iCs/>
        </w:rPr>
        <w:t>C.albicans</w:t>
      </w:r>
      <w:proofErr w:type="spellEnd"/>
    </w:p>
    <w:p w14:paraId="439395AA" w14:textId="3C712936" w:rsidR="008760ED" w:rsidRDefault="008760ED" w:rsidP="00403379">
      <w:pPr>
        <w:spacing w:before="60" w:after="240" w:line="240" w:lineRule="auto"/>
        <w:ind w:firstLine="0"/>
        <w:rPr>
          <w:rFonts w:cstheme="majorBidi"/>
        </w:rPr>
      </w:pPr>
      <w:r w:rsidRPr="008760ED">
        <w:rPr>
          <w:rFonts w:cstheme="majorBidi"/>
        </w:rPr>
        <w:lastRenderedPageBreak/>
        <w:t xml:space="preserve">For </w:t>
      </w:r>
      <w:r w:rsidR="00ED69CE" w:rsidRPr="008760ED">
        <w:rPr>
          <w:rFonts w:cstheme="majorBidi"/>
          <w:i/>
          <w:iCs/>
        </w:rPr>
        <w:t xml:space="preserve">S. </w:t>
      </w:r>
      <w:proofErr w:type="spellStart"/>
      <w:r w:rsidR="00ED69CE" w:rsidRPr="008760ED">
        <w:rPr>
          <w:rFonts w:cstheme="majorBidi"/>
          <w:i/>
          <w:iCs/>
        </w:rPr>
        <w:t>mutans</w:t>
      </w:r>
      <w:proofErr w:type="spellEnd"/>
      <w:r w:rsidRPr="008760ED">
        <w:rPr>
          <w:rFonts w:cstheme="majorBidi"/>
        </w:rPr>
        <w:t xml:space="preserve">, </w:t>
      </w:r>
      <w:r w:rsidR="00ED69CE">
        <w:rPr>
          <w:rFonts w:cstheme="majorBidi"/>
        </w:rPr>
        <w:t xml:space="preserve">the </w:t>
      </w:r>
      <w:r w:rsidRPr="008760ED">
        <w:rPr>
          <w:rFonts w:cstheme="majorBidi"/>
        </w:rPr>
        <w:t xml:space="preserve">results of One-way ANOVA revealed a statistically significant difference (p &lt; 0.05) in the inhibition zone measurements as shown in </w:t>
      </w:r>
      <w:r w:rsidR="00ED69CE">
        <w:rPr>
          <w:rFonts w:cstheme="majorBidi"/>
        </w:rPr>
        <w:t>T</w:t>
      </w:r>
      <w:r w:rsidRPr="008760ED">
        <w:rPr>
          <w:rFonts w:cstheme="majorBidi"/>
        </w:rPr>
        <w:t>able (1).</w:t>
      </w:r>
    </w:p>
    <w:p w14:paraId="209FA5D4" w14:textId="21CF7882" w:rsidR="008760ED" w:rsidRPr="00B47E3F" w:rsidRDefault="00B47E3F" w:rsidP="00403379">
      <w:pPr>
        <w:spacing w:before="60" w:after="240" w:line="240" w:lineRule="auto"/>
        <w:jc w:val="center"/>
        <w:rPr>
          <w:rFonts w:cstheme="majorBidi"/>
        </w:rPr>
      </w:pPr>
      <w:r w:rsidRPr="007A32DF">
        <w:rPr>
          <w:rFonts w:cstheme="majorBidi"/>
          <w:b/>
          <w:bCs/>
        </w:rPr>
        <w:t>Table 1:</w:t>
      </w:r>
      <w:r w:rsidRPr="00B47E3F">
        <w:rPr>
          <w:rFonts w:cstheme="majorBidi"/>
        </w:rPr>
        <w:t xml:space="preserve"> </w:t>
      </w:r>
      <w:r w:rsidR="00ED69CE">
        <w:rPr>
          <w:rFonts w:cstheme="majorBidi"/>
        </w:rPr>
        <w:t>One-way</w:t>
      </w:r>
      <w:r w:rsidRPr="00B47E3F">
        <w:rPr>
          <w:rFonts w:cstheme="majorBidi"/>
        </w:rPr>
        <w:t xml:space="preserve"> ANOVA test for </w:t>
      </w:r>
      <w:proofErr w:type="spellStart"/>
      <w:r w:rsidRPr="00B47E3F">
        <w:rPr>
          <w:rFonts w:cstheme="majorBidi"/>
          <w:i/>
          <w:iCs/>
        </w:rPr>
        <w:t>S.mutans</w:t>
      </w:r>
      <w:proofErr w:type="spellEnd"/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538"/>
        <w:gridCol w:w="622"/>
        <w:gridCol w:w="1800"/>
        <w:gridCol w:w="1800"/>
        <w:gridCol w:w="1620"/>
        <w:gridCol w:w="900"/>
        <w:gridCol w:w="992"/>
      </w:tblGrid>
      <w:tr w:rsidR="001E2D00" w:rsidRPr="001E2D00" w14:paraId="203E6FB4" w14:textId="77777777" w:rsidTr="007A32DF"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29EA258F" w14:textId="3AEC532F" w:rsidR="00987866" w:rsidRPr="001E2D00" w:rsidRDefault="00987866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Group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</w:tcPr>
          <w:p w14:paraId="16AF97AC" w14:textId="1740149C" w:rsidR="00987866" w:rsidRPr="001E2D00" w:rsidRDefault="00987866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N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</w:tcPr>
          <w:p w14:paraId="695A6837" w14:textId="67BC426B" w:rsidR="00987866" w:rsidRPr="001E2D00" w:rsidRDefault="00987866" w:rsidP="001E2D00">
            <w:pPr>
              <w:ind w:left="0" w:right="0" w:firstLine="0"/>
              <w:jc w:val="center"/>
              <w:rPr>
                <w:rFonts w:cstheme="majorBidi"/>
              </w:rPr>
            </w:pPr>
            <w:proofErr w:type="spellStart"/>
            <w:r w:rsidRPr="001E2D00">
              <w:rPr>
                <w:rFonts w:cstheme="majorBidi"/>
              </w:rPr>
              <w:t>Mean+SD</w:t>
            </w:r>
            <w:proofErr w:type="spellEnd"/>
          </w:p>
        </w:tc>
        <w:tc>
          <w:tcPr>
            <w:tcW w:w="34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C51CFC" w14:textId="77777777" w:rsidR="00987866" w:rsidRPr="001E2D00" w:rsidRDefault="00987866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95% CI for mean</w:t>
            </w:r>
          </w:p>
          <w:p w14:paraId="4C5CF1CD" w14:textId="33FEB5CF" w:rsidR="00266625" w:rsidRPr="001E2D00" w:rsidRDefault="00336D9C" w:rsidP="00336D9C">
            <w:pPr>
              <w:ind w:left="0" w:right="0" w:firstLine="0"/>
              <w:rPr>
                <w:rFonts w:cstheme="majorBidi"/>
              </w:rPr>
            </w:pPr>
            <w:r>
              <w:rPr>
                <w:rFonts w:cstheme="majorBidi"/>
              </w:rPr>
              <w:t xml:space="preserve">  </w:t>
            </w:r>
            <w:r w:rsidR="00266625" w:rsidRPr="001E2D00">
              <w:rPr>
                <w:rFonts w:cstheme="majorBidi"/>
              </w:rPr>
              <w:t xml:space="preserve">Lower band </w:t>
            </w:r>
            <w:r>
              <w:rPr>
                <w:rFonts w:cstheme="majorBidi"/>
              </w:rPr>
              <w:t xml:space="preserve">      </w:t>
            </w:r>
            <w:r w:rsidR="00AB0686" w:rsidRPr="001E2D00">
              <w:rPr>
                <w:rFonts w:cstheme="majorBidi"/>
              </w:rPr>
              <w:t xml:space="preserve"> </w:t>
            </w:r>
            <w:r w:rsidR="00266625" w:rsidRPr="001E2D00">
              <w:rPr>
                <w:rFonts w:cstheme="majorBidi"/>
              </w:rPr>
              <w:t>Upper band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24B52DED" w14:textId="7F7A62B8" w:rsidR="00987866" w:rsidRPr="001E2D00" w:rsidRDefault="00987866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F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0A6F93B" w14:textId="77777777" w:rsidR="00987866" w:rsidRDefault="00987866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Sig</w:t>
            </w:r>
          </w:p>
          <w:p w14:paraId="55AF9884" w14:textId="3A1CC448" w:rsidR="00336D9C" w:rsidRPr="001E2D00" w:rsidRDefault="00336D9C" w:rsidP="001E2D00">
            <w:pPr>
              <w:ind w:left="0" w:right="0" w:firstLine="0"/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P-Value</w:t>
            </w:r>
          </w:p>
        </w:tc>
      </w:tr>
      <w:tr w:rsidR="001E2D00" w:rsidRPr="001E2D00" w14:paraId="4F6EDAA7" w14:textId="77777777" w:rsidTr="007A32DF">
        <w:tc>
          <w:tcPr>
            <w:tcW w:w="1538" w:type="dxa"/>
            <w:tcBorders>
              <w:left w:val="nil"/>
              <w:bottom w:val="nil"/>
              <w:right w:val="nil"/>
            </w:tcBorders>
          </w:tcPr>
          <w:p w14:paraId="16501BF8" w14:textId="50DA1D37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Control</w:t>
            </w: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</w:tcPr>
          <w:p w14:paraId="1A4DA8D3" w14:textId="229B21FB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7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3052752E" w14:textId="274E9733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0.19014 (0.00661)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5C175F5F" w14:textId="17B38111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0.18402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666626F9" w14:textId="1C1E6F9E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0.19626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77F2004F" w14:textId="0A4B75B1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534.957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A02DF72" w14:textId="520A9E5B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0.000</w:t>
            </w:r>
          </w:p>
        </w:tc>
      </w:tr>
      <w:tr w:rsidR="001E2D00" w:rsidRPr="001E2D00" w14:paraId="241980F1" w14:textId="77777777" w:rsidTr="007A32DF"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AC7071E" w14:textId="75ABB4D8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2%TiO</w:t>
            </w:r>
            <w:r w:rsidRPr="001E2D00">
              <w:rPr>
                <w:rFonts w:cstheme="majorBidi"/>
                <w:vertAlign w:val="subscript"/>
              </w:rPr>
              <w:t>2</w:t>
            </w:r>
            <w:r w:rsidRPr="001E2D00">
              <w:rPr>
                <w:rFonts w:cstheme="majorBidi"/>
              </w:rPr>
              <w:t>NPs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7068EA8E" w14:textId="34735441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FB2FB8" w14:textId="0674E059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1.89043 (0.12906)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1D863C" w14:textId="3CC049AC" w:rsidR="00266625" w:rsidRPr="001E2D00" w:rsidRDefault="00AB0686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1.77106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624922" w14:textId="39091C42" w:rsidR="00266625" w:rsidRPr="001E2D00" w:rsidRDefault="00AB0686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2.00979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9C8C66" w14:textId="77777777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C2DFDF" w14:textId="77777777" w:rsidR="00266625" w:rsidRPr="001E2D00" w:rsidRDefault="00266625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</w:tr>
      <w:tr w:rsidR="001E2D00" w:rsidRPr="001E2D00" w14:paraId="2F9FFCAD" w14:textId="77777777" w:rsidTr="007A32DF"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1746A22" w14:textId="5745C226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3%TiO</w:t>
            </w:r>
            <w:r w:rsidRPr="001E2D00">
              <w:rPr>
                <w:rFonts w:cstheme="majorBidi"/>
                <w:vertAlign w:val="subscript"/>
              </w:rPr>
              <w:t>2</w:t>
            </w:r>
            <w:r w:rsidRPr="001E2D00">
              <w:rPr>
                <w:rFonts w:cstheme="majorBidi"/>
              </w:rPr>
              <w:t>NPs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A183FE3" w14:textId="477412B0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57E7BE" w14:textId="6C7B7E81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3.11357 (0.37468)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7998EA" w14:textId="2EA7E41B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2.76704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A624821" w14:textId="3B95D105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3.46010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75E73E" w14:textId="77777777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34F36B" w14:textId="77777777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</w:tr>
      <w:tr w:rsidR="001E2D00" w:rsidRPr="001E2D00" w14:paraId="55632FB0" w14:textId="77777777" w:rsidTr="007A32DF"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7AD54C9" w14:textId="2A360A24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5%TiO</w:t>
            </w:r>
            <w:r w:rsidRPr="001E2D00">
              <w:rPr>
                <w:rFonts w:cstheme="majorBidi"/>
                <w:vertAlign w:val="subscript"/>
              </w:rPr>
              <w:t>2</w:t>
            </w:r>
            <w:r w:rsidRPr="001E2D00">
              <w:rPr>
                <w:rFonts w:cstheme="majorBidi"/>
              </w:rPr>
              <w:t>NPs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F9A77FD" w14:textId="4AFDB1F1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F9FE00" w14:textId="6AE75C5B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4.45529 (0.12333)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6EAF33" w14:textId="4B1BB261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4.34122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8921EB7" w14:textId="18A3823D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4.56935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B12EB8" w14:textId="77777777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5A1353" w14:textId="77777777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</w:tr>
      <w:tr w:rsidR="001E2D00" w:rsidRPr="001E2D00" w14:paraId="0F74E3BC" w14:textId="77777777" w:rsidTr="007A32DF">
        <w:tc>
          <w:tcPr>
            <w:tcW w:w="1538" w:type="dxa"/>
            <w:tcBorders>
              <w:top w:val="nil"/>
              <w:left w:val="nil"/>
              <w:right w:val="nil"/>
            </w:tcBorders>
          </w:tcPr>
          <w:p w14:paraId="052A859C" w14:textId="5A9F9B20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Total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14:paraId="4B545317" w14:textId="7F9FBD23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7D0473A4" w14:textId="5858122C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2.41236 (1.61205)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58E006D7" w14:textId="3E0281AD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1.78727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2ED55610" w14:textId="1C659210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  <w:r w:rsidRPr="001E2D00">
              <w:rPr>
                <w:rFonts w:cstheme="majorBidi"/>
              </w:rPr>
              <w:t>3.03745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4953647A" w14:textId="77777777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1F426CCC" w14:textId="77777777" w:rsidR="00950AC7" w:rsidRPr="001E2D00" w:rsidRDefault="00950AC7" w:rsidP="001E2D00">
            <w:pPr>
              <w:ind w:left="0" w:right="0" w:firstLine="0"/>
              <w:jc w:val="center"/>
              <w:rPr>
                <w:rFonts w:cstheme="majorBidi"/>
              </w:rPr>
            </w:pPr>
          </w:p>
        </w:tc>
      </w:tr>
    </w:tbl>
    <w:p w14:paraId="30128408" w14:textId="77777777" w:rsidR="008760ED" w:rsidRPr="008760ED" w:rsidRDefault="008760ED" w:rsidP="008760ED">
      <w:pPr>
        <w:rPr>
          <w:rFonts w:cstheme="majorBidi"/>
        </w:rPr>
      </w:pPr>
    </w:p>
    <w:p w14:paraId="20E55FA6" w14:textId="4BF51CD0" w:rsidR="00BA4025" w:rsidRDefault="00B47E3F" w:rsidP="00403379">
      <w:pPr>
        <w:spacing w:before="60" w:after="240" w:line="240" w:lineRule="auto"/>
        <w:ind w:firstLine="0"/>
        <w:rPr>
          <w:rFonts w:cstheme="majorBidi"/>
        </w:rPr>
      </w:pPr>
      <w:r w:rsidRPr="00B47E3F">
        <w:rPr>
          <w:rFonts w:cstheme="majorBidi"/>
        </w:rPr>
        <w:t xml:space="preserve">Post hoc (LSD) test for multiple comparisons depicted a statistically </w:t>
      </w:r>
      <w:r w:rsidR="00ED69CE">
        <w:rPr>
          <w:rFonts w:cstheme="majorBidi"/>
        </w:rPr>
        <w:t>significantly</w:t>
      </w:r>
      <w:r w:rsidRPr="00B47E3F">
        <w:rPr>
          <w:rFonts w:cstheme="majorBidi"/>
        </w:rPr>
        <w:t xml:space="preserve"> different between the groups in such a way that the added TiO</w:t>
      </w:r>
      <w:r w:rsidRPr="00B47E3F">
        <w:rPr>
          <w:rFonts w:cstheme="majorBidi"/>
          <w:vertAlign w:val="subscript"/>
        </w:rPr>
        <w:t>2</w:t>
      </w:r>
      <w:r w:rsidRPr="00B47E3F">
        <w:rPr>
          <w:rFonts w:cstheme="majorBidi"/>
        </w:rPr>
        <w:t xml:space="preserve">NPs improved the antibacterial activity of the used alginate in all used concentrations as shown in </w:t>
      </w:r>
      <w:r w:rsidR="002365C9">
        <w:rPr>
          <w:rFonts w:cstheme="majorBidi"/>
        </w:rPr>
        <w:t>T</w:t>
      </w:r>
      <w:r w:rsidRPr="00B47E3F">
        <w:rPr>
          <w:rFonts w:cstheme="majorBidi"/>
        </w:rPr>
        <w:t>able (2).</w:t>
      </w:r>
    </w:p>
    <w:p w14:paraId="6AF18477" w14:textId="30FFFCE4" w:rsidR="00BA4025" w:rsidRDefault="00B47E3F" w:rsidP="00403379">
      <w:pPr>
        <w:spacing w:before="60" w:after="24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47E3F">
        <w:rPr>
          <w:rFonts w:asciiTheme="majorBidi" w:hAnsiTheme="majorBidi" w:cstheme="majorBidi"/>
          <w:sz w:val="24"/>
          <w:szCs w:val="24"/>
        </w:rPr>
        <w:t>Table 2: Post hoc test (</w:t>
      </w:r>
      <w:r w:rsidRPr="00BA4025">
        <w:rPr>
          <w:rFonts w:cstheme="majorBidi"/>
        </w:rPr>
        <w:t>LSD</w:t>
      </w:r>
      <w:r w:rsidRPr="00B47E3F">
        <w:rPr>
          <w:rFonts w:asciiTheme="majorBidi" w:hAnsiTheme="majorBidi" w:cstheme="majorBidi"/>
          <w:sz w:val="24"/>
          <w:szCs w:val="24"/>
        </w:rPr>
        <w:t xml:space="preserve">- multiple comparisons) for </w:t>
      </w:r>
      <w:r w:rsidR="00ED69CE" w:rsidRPr="00B47E3F">
        <w:rPr>
          <w:rFonts w:asciiTheme="majorBidi" w:hAnsiTheme="majorBidi" w:cstheme="majorBidi"/>
          <w:i/>
          <w:iCs/>
          <w:sz w:val="24"/>
          <w:szCs w:val="24"/>
        </w:rPr>
        <w:t xml:space="preserve">S. </w:t>
      </w:r>
      <w:proofErr w:type="spellStart"/>
      <w:r w:rsidR="00ED69CE" w:rsidRPr="00B47E3F">
        <w:rPr>
          <w:rFonts w:asciiTheme="majorBidi" w:hAnsiTheme="majorBidi" w:cstheme="majorBidi"/>
          <w:i/>
          <w:iCs/>
          <w:sz w:val="24"/>
          <w:szCs w:val="24"/>
        </w:rPr>
        <w:t>mutans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625"/>
        <w:gridCol w:w="1890"/>
        <w:gridCol w:w="1620"/>
        <w:gridCol w:w="1800"/>
        <w:gridCol w:w="1369"/>
      </w:tblGrid>
      <w:tr w:rsidR="00121D31" w:rsidRPr="00121D31" w14:paraId="1C6D1A28" w14:textId="77777777" w:rsidTr="007A32DF">
        <w:trPr>
          <w:jc w:val="center"/>
        </w:trPr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25CC41D5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bookmarkStart w:id="2" w:name="_Hlk105091644"/>
            <w:r w:rsidRPr="007A32DF">
              <w:rPr>
                <w:rFonts w:cstheme="majorBidi"/>
                <w:b/>
                <w:bCs/>
              </w:rPr>
              <w:t>Group I</w:t>
            </w:r>
          </w:p>
        </w:tc>
        <w:tc>
          <w:tcPr>
            <w:tcW w:w="1625" w:type="dxa"/>
            <w:tcBorders>
              <w:left w:val="nil"/>
              <w:bottom w:val="single" w:sz="4" w:space="0" w:color="auto"/>
              <w:right w:val="nil"/>
            </w:tcBorders>
          </w:tcPr>
          <w:p w14:paraId="28065F86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Group J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178B54AD" w14:textId="77777777" w:rsidR="00121D31" w:rsidRPr="007A32DF" w:rsidRDefault="00121D31" w:rsidP="00B87A05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Mean Difference (I-J)</w:t>
            </w:r>
          </w:p>
        </w:tc>
        <w:tc>
          <w:tcPr>
            <w:tcW w:w="34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782DFB3" w14:textId="12C11BFE" w:rsidR="00B87A05" w:rsidRPr="007A32DF" w:rsidRDefault="00B87A05" w:rsidP="00B87A05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 xml:space="preserve">          </w:t>
            </w:r>
            <w:r w:rsidR="00121D31" w:rsidRPr="007A32DF">
              <w:rPr>
                <w:rFonts w:cstheme="majorBidi"/>
                <w:b/>
                <w:bCs/>
              </w:rPr>
              <w:t>95% CI for mean</w:t>
            </w:r>
          </w:p>
          <w:p w14:paraId="38759F65" w14:textId="39BC69A2" w:rsidR="00121D31" w:rsidRPr="007A32DF" w:rsidRDefault="00121D31" w:rsidP="00B87A05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 xml:space="preserve">Lower band   </w:t>
            </w:r>
            <w:r w:rsidR="00B87A05" w:rsidRPr="007A32DF">
              <w:rPr>
                <w:rFonts w:cstheme="majorBidi"/>
                <w:b/>
                <w:bCs/>
              </w:rPr>
              <w:t xml:space="preserve">   </w:t>
            </w:r>
            <w:r w:rsidRPr="007A32DF">
              <w:rPr>
                <w:rFonts w:cstheme="majorBidi"/>
                <w:b/>
                <w:bCs/>
              </w:rPr>
              <w:t xml:space="preserve"> Upper band</w:t>
            </w:r>
          </w:p>
        </w:tc>
        <w:tc>
          <w:tcPr>
            <w:tcW w:w="1369" w:type="dxa"/>
            <w:tcBorders>
              <w:left w:val="nil"/>
              <w:bottom w:val="single" w:sz="4" w:space="0" w:color="auto"/>
              <w:right w:val="nil"/>
            </w:tcBorders>
          </w:tcPr>
          <w:p w14:paraId="1370BD23" w14:textId="77777777" w:rsidR="00121D31" w:rsidRPr="007A32DF" w:rsidRDefault="00121D31" w:rsidP="00121D31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Sig</w:t>
            </w:r>
          </w:p>
          <w:p w14:paraId="67149A37" w14:textId="77E102B3" w:rsidR="00121D31" w:rsidRPr="007A32DF" w:rsidRDefault="00121D31" w:rsidP="00121D31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P</w:t>
            </w:r>
            <w:r w:rsidR="00B87A05" w:rsidRPr="007A32DF">
              <w:rPr>
                <w:rFonts w:cstheme="majorBidi"/>
                <w:b/>
                <w:bCs/>
              </w:rPr>
              <w:t>-value</w:t>
            </w:r>
          </w:p>
        </w:tc>
      </w:tr>
      <w:tr w:rsidR="00121D31" w:rsidRPr="00121D31" w14:paraId="51DBAB46" w14:textId="77777777" w:rsidTr="007A32DF">
        <w:trPr>
          <w:trHeight w:val="130"/>
          <w:jc w:val="center"/>
        </w:trPr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09132C5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Control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</w:tcPr>
          <w:p w14:paraId="7D5578EB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2%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530CC8E7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-1.700286</w:t>
            </w:r>
            <w:r w:rsidRPr="00121D31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C8437BC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-1.92925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675AFDC3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-1.47132</w:t>
            </w: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</w:tcPr>
          <w:p w14:paraId="28C61335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0.000</w:t>
            </w:r>
          </w:p>
        </w:tc>
      </w:tr>
      <w:tr w:rsidR="00121D31" w:rsidRPr="00121D31" w14:paraId="22E6B851" w14:textId="77777777" w:rsidTr="007A32DF">
        <w:trPr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468028" w14:textId="77777777" w:rsidR="00121D31" w:rsidRPr="007A32DF" w:rsidRDefault="00121D31" w:rsidP="00121D31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72AF75AA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3%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041F3C4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-2.923429</w:t>
            </w:r>
            <w:r w:rsidRPr="00121D31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318D88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-3.15239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0F6064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-2.69446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05F1A8D5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0.000</w:t>
            </w:r>
          </w:p>
        </w:tc>
      </w:tr>
      <w:tr w:rsidR="00121D31" w:rsidRPr="00121D31" w14:paraId="39904DD4" w14:textId="77777777" w:rsidTr="007A32DF">
        <w:trPr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39B31A" w14:textId="77777777" w:rsidR="00121D31" w:rsidRPr="007A32DF" w:rsidRDefault="00121D31" w:rsidP="00121D31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8989E59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5%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1FF9520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-4.265143</w:t>
            </w:r>
            <w:r w:rsidRPr="00121D31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508A977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-4.49411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5A26F3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-4.03618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35953EA0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0.000</w:t>
            </w:r>
          </w:p>
        </w:tc>
      </w:tr>
      <w:tr w:rsidR="00121D31" w:rsidRPr="00121D31" w14:paraId="2FC0317F" w14:textId="77777777" w:rsidTr="007A32DF">
        <w:trPr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067F5A" w14:textId="1F6D468F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2%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4508885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3%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9234A6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-1.223143</w:t>
            </w:r>
            <w:r w:rsidRPr="00121D31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FAB871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-1.45211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82B5B9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-0.99418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4582388C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0.000</w:t>
            </w:r>
          </w:p>
        </w:tc>
      </w:tr>
      <w:tr w:rsidR="00121D31" w:rsidRPr="00121D31" w14:paraId="618B2789" w14:textId="77777777" w:rsidTr="007A32DF">
        <w:trPr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37986B" w14:textId="77777777" w:rsidR="00121D31" w:rsidRPr="007A32DF" w:rsidRDefault="00121D31" w:rsidP="00121D31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EDF456C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5%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770025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-2.564857</w:t>
            </w:r>
            <w:r w:rsidRPr="00121D31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4D8952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-2.79382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99EEA0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-2.33589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1F642FD1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0.000</w:t>
            </w:r>
          </w:p>
        </w:tc>
      </w:tr>
      <w:tr w:rsidR="00121D31" w:rsidRPr="00121D31" w14:paraId="2205D337" w14:textId="77777777" w:rsidTr="007A32DF">
        <w:trPr>
          <w:jc w:val="center"/>
        </w:trPr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32789EF8" w14:textId="3E388EC0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3%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</w:tcPr>
          <w:p w14:paraId="58774EA8" w14:textId="77777777" w:rsidR="00121D31" w:rsidRPr="007A32DF" w:rsidRDefault="00121D31" w:rsidP="00121D31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5%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74117691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-1.341714</w:t>
            </w:r>
            <w:r w:rsidRPr="00121D31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5CFE9C53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-1.57068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2EBFFB8A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-1.11275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</w:tcPr>
          <w:p w14:paraId="16219961" w14:textId="77777777" w:rsidR="00121D31" w:rsidRPr="00121D31" w:rsidRDefault="00121D31" w:rsidP="00121D31">
            <w:pPr>
              <w:ind w:left="0" w:right="0"/>
              <w:jc w:val="center"/>
              <w:rPr>
                <w:rFonts w:cstheme="majorBidi"/>
              </w:rPr>
            </w:pPr>
            <w:r w:rsidRPr="00121D31">
              <w:rPr>
                <w:rFonts w:cstheme="majorBidi"/>
              </w:rPr>
              <w:t>0.000</w:t>
            </w:r>
          </w:p>
        </w:tc>
      </w:tr>
      <w:bookmarkEnd w:id="2"/>
    </w:tbl>
    <w:p w14:paraId="641EFC15" w14:textId="77777777" w:rsidR="006A70F3" w:rsidRDefault="006A70F3" w:rsidP="006A70F3">
      <w:pPr>
        <w:rPr>
          <w:rFonts w:asciiTheme="majorBidi" w:hAnsiTheme="majorBidi" w:cstheme="majorBidi"/>
          <w:sz w:val="24"/>
          <w:szCs w:val="24"/>
        </w:rPr>
      </w:pPr>
    </w:p>
    <w:p w14:paraId="0DCB4EBF" w14:textId="110FB7FC" w:rsidR="006A70F3" w:rsidRDefault="006A70F3" w:rsidP="00403379">
      <w:pPr>
        <w:spacing w:before="60" w:after="240" w:line="240" w:lineRule="auto"/>
        <w:ind w:firstLine="0"/>
        <w:rPr>
          <w:rFonts w:cstheme="majorBidi"/>
        </w:rPr>
      </w:pPr>
      <w:r w:rsidRPr="006A70F3">
        <w:rPr>
          <w:rFonts w:cstheme="majorBidi"/>
        </w:rPr>
        <w:t xml:space="preserve">Regarding </w:t>
      </w:r>
      <w:r w:rsidR="00ED69CE" w:rsidRPr="006A70F3">
        <w:rPr>
          <w:rFonts w:cstheme="majorBidi"/>
          <w:i/>
          <w:iCs/>
        </w:rPr>
        <w:t>C. albicans</w:t>
      </w:r>
      <w:r w:rsidRPr="006A70F3">
        <w:rPr>
          <w:rFonts w:cstheme="majorBidi"/>
        </w:rPr>
        <w:t xml:space="preserve">, the obtained results were identical to the results of </w:t>
      </w:r>
      <w:r w:rsidR="00733E9F" w:rsidRPr="006A70F3">
        <w:rPr>
          <w:rFonts w:cstheme="majorBidi"/>
          <w:i/>
          <w:iCs/>
        </w:rPr>
        <w:t xml:space="preserve">S. </w:t>
      </w:r>
      <w:proofErr w:type="spellStart"/>
      <w:r w:rsidR="00733E9F" w:rsidRPr="006A70F3">
        <w:rPr>
          <w:rFonts w:cstheme="majorBidi"/>
          <w:i/>
          <w:iCs/>
        </w:rPr>
        <w:t>mutans</w:t>
      </w:r>
      <w:proofErr w:type="spellEnd"/>
      <w:r w:rsidRPr="006A70F3">
        <w:rPr>
          <w:rFonts w:cstheme="majorBidi"/>
        </w:rPr>
        <w:t xml:space="preserve"> as there was a statistically highly significant increase in the antifungal activity of the alginate in the modified groups. The inhibition zone was more dominant at the highest percentage (5%) of used TiO</w:t>
      </w:r>
      <w:r w:rsidRPr="006A70F3">
        <w:rPr>
          <w:rFonts w:cstheme="majorBidi"/>
          <w:vertAlign w:val="subscript"/>
        </w:rPr>
        <w:t>2</w:t>
      </w:r>
      <w:r w:rsidRPr="006A70F3">
        <w:rPr>
          <w:rFonts w:cstheme="majorBidi"/>
        </w:rPr>
        <w:t xml:space="preserve">NPs compared to </w:t>
      </w:r>
      <w:r w:rsidR="00733E9F">
        <w:rPr>
          <w:rFonts w:cstheme="majorBidi"/>
        </w:rPr>
        <w:t xml:space="preserve">the </w:t>
      </w:r>
      <w:r w:rsidRPr="006A70F3">
        <w:rPr>
          <w:rFonts w:cstheme="majorBidi"/>
        </w:rPr>
        <w:t xml:space="preserve">2% and 3% groups. </w:t>
      </w:r>
      <w:r w:rsidR="00ED69CE">
        <w:rPr>
          <w:rFonts w:cstheme="majorBidi"/>
        </w:rPr>
        <w:t>The control</w:t>
      </w:r>
      <w:r w:rsidRPr="006A70F3">
        <w:rPr>
          <w:rFonts w:cstheme="majorBidi"/>
        </w:rPr>
        <w:t xml:space="preserve"> group possessed </w:t>
      </w:r>
      <w:r w:rsidR="00733E9F">
        <w:rPr>
          <w:rFonts w:cstheme="majorBidi"/>
        </w:rPr>
        <w:t xml:space="preserve">a </w:t>
      </w:r>
      <w:r w:rsidRPr="006A70F3">
        <w:rPr>
          <w:rFonts w:cstheme="majorBidi"/>
        </w:rPr>
        <w:t xml:space="preserve">minimum inhibition zone as shown in </w:t>
      </w:r>
      <w:r w:rsidR="00733E9F">
        <w:rPr>
          <w:rFonts w:cstheme="majorBidi"/>
        </w:rPr>
        <w:t>T</w:t>
      </w:r>
      <w:r w:rsidRPr="006A70F3">
        <w:rPr>
          <w:rFonts w:cstheme="majorBidi"/>
        </w:rPr>
        <w:t>able (3).</w:t>
      </w:r>
    </w:p>
    <w:p w14:paraId="0146EF14" w14:textId="584F47F6" w:rsidR="006A70F3" w:rsidRDefault="006A70F3" w:rsidP="00403379">
      <w:pPr>
        <w:spacing w:before="60" w:after="240" w:line="240" w:lineRule="auto"/>
        <w:jc w:val="center"/>
        <w:rPr>
          <w:rFonts w:cstheme="majorBidi"/>
          <w:i/>
          <w:iCs/>
        </w:rPr>
      </w:pPr>
      <w:r w:rsidRPr="007A32DF">
        <w:rPr>
          <w:rFonts w:cstheme="majorBidi"/>
          <w:b/>
          <w:bCs/>
        </w:rPr>
        <w:t>Table 3</w:t>
      </w:r>
      <w:r w:rsidRPr="006A70F3">
        <w:rPr>
          <w:rFonts w:cstheme="majorBidi"/>
        </w:rPr>
        <w:t>: One</w:t>
      </w:r>
      <w:r w:rsidRPr="006A70F3">
        <w:rPr>
          <w:rFonts w:cstheme="majorBidi"/>
        </w:rPr>
        <w:noBreakHyphen/>
        <w:t xml:space="preserve">way ANOVA test for </w:t>
      </w:r>
      <w:r w:rsidR="00733E9F" w:rsidRPr="006A70F3">
        <w:rPr>
          <w:rFonts w:cstheme="majorBidi"/>
          <w:i/>
          <w:iCs/>
        </w:rPr>
        <w:t>C. albicans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95"/>
        <w:gridCol w:w="445"/>
        <w:gridCol w:w="95"/>
        <w:gridCol w:w="1705"/>
        <w:gridCol w:w="95"/>
        <w:gridCol w:w="1440"/>
        <w:gridCol w:w="1435"/>
        <w:gridCol w:w="95"/>
        <w:gridCol w:w="1075"/>
        <w:gridCol w:w="95"/>
        <w:gridCol w:w="1255"/>
        <w:gridCol w:w="95"/>
      </w:tblGrid>
      <w:tr w:rsidR="00622EFD" w:rsidRPr="00622EFD" w14:paraId="263C5B8C" w14:textId="77777777" w:rsidTr="007A32DF">
        <w:trPr>
          <w:gridAfter w:val="1"/>
          <w:wAfter w:w="95" w:type="dxa"/>
          <w:jc w:val="center"/>
        </w:trPr>
        <w:tc>
          <w:tcPr>
            <w:tcW w:w="1255" w:type="dxa"/>
            <w:tcBorders>
              <w:left w:val="nil"/>
              <w:bottom w:val="single" w:sz="4" w:space="0" w:color="auto"/>
              <w:right w:val="nil"/>
            </w:tcBorders>
          </w:tcPr>
          <w:p w14:paraId="6D684C24" w14:textId="77777777" w:rsidR="00622EFD" w:rsidRPr="007A32DF" w:rsidRDefault="00622EFD" w:rsidP="00622EFD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Group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3E022E" w14:textId="77777777" w:rsidR="00622EFD" w:rsidRPr="007A32DF" w:rsidRDefault="00622EFD" w:rsidP="00622EFD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N</w:t>
            </w: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E6775A" w14:textId="77777777" w:rsidR="00622EFD" w:rsidRPr="007A32DF" w:rsidRDefault="00622EFD" w:rsidP="00622EFD">
            <w:pPr>
              <w:ind w:left="0" w:right="0"/>
              <w:rPr>
                <w:rFonts w:cstheme="majorBidi"/>
                <w:b/>
                <w:bCs/>
              </w:rPr>
            </w:pPr>
            <w:proofErr w:type="spellStart"/>
            <w:r w:rsidRPr="007A32DF">
              <w:rPr>
                <w:rFonts w:cstheme="majorBidi"/>
                <w:b/>
                <w:bCs/>
              </w:rPr>
              <w:t>Mean+SD</w:t>
            </w:r>
            <w:proofErr w:type="spellEnd"/>
          </w:p>
        </w:tc>
        <w:tc>
          <w:tcPr>
            <w:tcW w:w="29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27D8CF8" w14:textId="77777777" w:rsidR="00622EFD" w:rsidRPr="007A32DF" w:rsidRDefault="00622EFD" w:rsidP="00320CC8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95% CI for mean</w:t>
            </w:r>
          </w:p>
          <w:p w14:paraId="7595AE54" w14:textId="5E255C7E" w:rsidR="00622EFD" w:rsidRPr="007A32DF" w:rsidRDefault="00320CC8" w:rsidP="00320CC8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 xml:space="preserve">  </w:t>
            </w:r>
            <w:r w:rsidR="00622EFD" w:rsidRPr="007A32DF">
              <w:rPr>
                <w:rFonts w:cstheme="majorBidi"/>
                <w:b/>
                <w:bCs/>
              </w:rPr>
              <w:t>Lower band    upper band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4DBB1D" w14:textId="21F56244" w:rsidR="00622EFD" w:rsidRPr="007A32DF" w:rsidRDefault="006E2872" w:rsidP="006E2872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 xml:space="preserve">   </w:t>
            </w:r>
            <w:r w:rsidR="00622EFD" w:rsidRPr="007A32DF">
              <w:rPr>
                <w:rFonts w:cstheme="majorBidi"/>
                <w:b/>
                <w:bCs/>
              </w:rPr>
              <w:t>F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30FFEE8" w14:textId="416333CA" w:rsidR="00622EFD" w:rsidRPr="007A32DF" w:rsidRDefault="00622EFD" w:rsidP="00622EFD">
            <w:pPr>
              <w:ind w:left="0" w:right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Sig</w:t>
            </w:r>
          </w:p>
          <w:p w14:paraId="77B2ED09" w14:textId="1A04D7C8" w:rsidR="00622EFD" w:rsidRPr="007A32DF" w:rsidRDefault="006E2872" w:rsidP="006E2872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 xml:space="preserve">   P-value</w:t>
            </w:r>
          </w:p>
        </w:tc>
      </w:tr>
      <w:tr w:rsidR="00622EFD" w:rsidRPr="00622EFD" w14:paraId="205BB0AF" w14:textId="77777777" w:rsidTr="007A32DF">
        <w:trPr>
          <w:jc w:val="center"/>
        </w:trPr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</w:tcPr>
          <w:p w14:paraId="7490C546" w14:textId="77777777" w:rsidR="00622EFD" w:rsidRPr="007A32DF" w:rsidRDefault="00622EFD" w:rsidP="00622EFD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Control</w:t>
            </w:r>
          </w:p>
        </w:tc>
        <w:tc>
          <w:tcPr>
            <w:tcW w:w="540" w:type="dxa"/>
            <w:gridSpan w:val="2"/>
            <w:tcBorders>
              <w:left w:val="nil"/>
              <w:bottom w:val="nil"/>
              <w:right w:val="nil"/>
            </w:tcBorders>
          </w:tcPr>
          <w:p w14:paraId="70ED1034" w14:textId="77777777" w:rsidR="00622EFD" w:rsidRPr="00622EFD" w:rsidRDefault="00622EFD" w:rsidP="00622EFD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7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14:paraId="51938BCF" w14:textId="77777777" w:rsidR="00622EFD" w:rsidRPr="00622EFD" w:rsidRDefault="00622EFD" w:rsidP="00320CC8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0.20086 (0.00470)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46753DA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0.19651</w:t>
            </w:r>
          </w:p>
        </w:tc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</w:tcPr>
          <w:p w14:paraId="2B0888E5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0.20521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</w:tcPr>
          <w:p w14:paraId="01788399" w14:textId="77777777" w:rsidR="00622EFD" w:rsidRPr="00622EFD" w:rsidRDefault="00622EFD" w:rsidP="006E2872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926.760</w:t>
            </w: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</w:tcPr>
          <w:p w14:paraId="075D4639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0.000</w:t>
            </w:r>
          </w:p>
        </w:tc>
      </w:tr>
      <w:tr w:rsidR="00622EFD" w:rsidRPr="00622EFD" w14:paraId="129625E9" w14:textId="77777777" w:rsidTr="007A32DF">
        <w:trPr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5DC7C" w14:textId="77777777" w:rsidR="00622EFD" w:rsidRPr="007A32DF" w:rsidRDefault="00622EFD" w:rsidP="00622EFD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2%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7E5E" w14:textId="77777777" w:rsidR="00622EFD" w:rsidRPr="00622EFD" w:rsidRDefault="00622EFD" w:rsidP="00622EFD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49B04" w14:textId="77777777" w:rsidR="00622EFD" w:rsidRPr="00622EFD" w:rsidRDefault="00622EFD" w:rsidP="00320CC8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1.22071 (0.06380)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CBAB24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1.16170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150E1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1.27973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8A88C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D069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</w:tr>
      <w:tr w:rsidR="00622EFD" w:rsidRPr="00622EFD" w14:paraId="6EC4621C" w14:textId="77777777" w:rsidTr="007A32DF">
        <w:trPr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9265A" w14:textId="77777777" w:rsidR="00622EFD" w:rsidRPr="007A32DF" w:rsidRDefault="00622EFD" w:rsidP="00622EFD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3%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101D8" w14:textId="77777777" w:rsidR="00622EFD" w:rsidRPr="00622EFD" w:rsidRDefault="00622EFD" w:rsidP="00622EFD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08952" w14:textId="77777777" w:rsidR="00622EFD" w:rsidRPr="00622EFD" w:rsidRDefault="00622EFD" w:rsidP="00320CC8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2.21943(0.14397)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10DE11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2.08627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3EC65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2.35258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0BDB4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A6228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</w:tr>
      <w:tr w:rsidR="00622EFD" w:rsidRPr="00622EFD" w14:paraId="38DA132E" w14:textId="77777777" w:rsidTr="007A32DF">
        <w:trPr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4B43E" w14:textId="77777777" w:rsidR="00622EFD" w:rsidRPr="007A32DF" w:rsidRDefault="00622EFD" w:rsidP="00622EFD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5%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3BA45" w14:textId="77777777" w:rsidR="00622EFD" w:rsidRPr="00622EFD" w:rsidRDefault="00622EFD" w:rsidP="00622EFD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D9366" w14:textId="77777777" w:rsidR="00622EFD" w:rsidRPr="00622EFD" w:rsidRDefault="00622EFD" w:rsidP="00320CC8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2.72629 (0.11391)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0CA1F2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2.62093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9E5A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2.83164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0A993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6662A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</w:tr>
      <w:tr w:rsidR="00622EFD" w:rsidRPr="00622EFD" w14:paraId="529D1B4A" w14:textId="77777777" w:rsidTr="007A32DF">
        <w:trPr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</w:tcPr>
          <w:p w14:paraId="6910DD6E" w14:textId="77777777" w:rsidR="00622EFD" w:rsidRPr="007A32DF" w:rsidRDefault="00622EFD" w:rsidP="00622EFD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Total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470BBE58" w14:textId="77777777" w:rsidR="00622EFD" w:rsidRPr="00622EFD" w:rsidRDefault="00622EFD" w:rsidP="00622EFD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28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14:paraId="289219B3" w14:textId="77777777" w:rsidR="00622EFD" w:rsidRPr="00622EFD" w:rsidRDefault="00622EFD" w:rsidP="00320CC8">
            <w:pPr>
              <w:ind w:left="0" w:right="0" w:firstLine="0"/>
              <w:rPr>
                <w:rFonts w:cstheme="majorBidi"/>
              </w:rPr>
            </w:pPr>
            <w:r w:rsidRPr="00622EFD">
              <w:rPr>
                <w:rFonts w:cstheme="majorBidi"/>
              </w:rPr>
              <w:t>1.59182 (0.99070)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7F0B8CE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1.20766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right w:val="nil"/>
            </w:tcBorders>
          </w:tcPr>
          <w:p w14:paraId="38EE62F8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  <w:r w:rsidRPr="00622EFD">
              <w:rPr>
                <w:rFonts w:cstheme="majorBidi"/>
              </w:rPr>
              <w:t>1.97598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14:paraId="2C579D69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</w:tcPr>
          <w:p w14:paraId="383E8C67" w14:textId="77777777" w:rsidR="00622EFD" w:rsidRPr="00622EFD" w:rsidRDefault="00622EFD" w:rsidP="00622EFD">
            <w:pPr>
              <w:ind w:left="0" w:right="0"/>
              <w:rPr>
                <w:rFonts w:cstheme="majorBidi"/>
              </w:rPr>
            </w:pPr>
          </w:p>
        </w:tc>
      </w:tr>
    </w:tbl>
    <w:p w14:paraId="39E4B488" w14:textId="19D18F5F" w:rsidR="00C956CE" w:rsidRDefault="00C956CE" w:rsidP="00403379">
      <w:pPr>
        <w:spacing w:before="60" w:after="240" w:line="240" w:lineRule="auto"/>
        <w:ind w:firstLine="0"/>
        <w:rPr>
          <w:rFonts w:cstheme="majorBidi"/>
        </w:rPr>
      </w:pPr>
      <w:r w:rsidRPr="00C956CE">
        <w:rPr>
          <w:rFonts w:cstheme="majorBidi"/>
        </w:rPr>
        <w:lastRenderedPageBreak/>
        <w:t>Post hoc test for multiple comparisons between the groups showed the presence of highly</w:t>
      </w:r>
      <w:r w:rsidR="00A46898">
        <w:rPr>
          <w:rFonts w:cstheme="majorBidi"/>
        </w:rPr>
        <w:t xml:space="preserve"> </w:t>
      </w:r>
      <w:r w:rsidRPr="00C956CE">
        <w:rPr>
          <w:rFonts w:cstheme="majorBidi"/>
        </w:rPr>
        <w:t>significant difference (p &lt; 0.001) between the control group and the other groups as well as between the groups themselves as shown in table (4).</w:t>
      </w:r>
    </w:p>
    <w:p w14:paraId="53C340F0" w14:textId="77777777" w:rsidR="00C956CE" w:rsidRPr="00C956CE" w:rsidRDefault="00C956CE" w:rsidP="00403379">
      <w:pPr>
        <w:spacing w:before="60" w:after="240" w:line="240" w:lineRule="auto"/>
        <w:jc w:val="center"/>
        <w:rPr>
          <w:rFonts w:cstheme="majorBidi"/>
        </w:rPr>
      </w:pPr>
      <w:r w:rsidRPr="007A32DF">
        <w:rPr>
          <w:rFonts w:cstheme="majorBidi"/>
          <w:b/>
          <w:bCs/>
        </w:rPr>
        <w:t>Table 4</w:t>
      </w:r>
      <w:r w:rsidRPr="00C956CE">
        <w:rPr>
          <w:rFonts w:cstheme="majorBidi"/>
        </w:rPr>
        <w:t xml:space="preserve">: Post hoc test (LSD- multiple comparisons) for </w:t>
      </w:r>
      <w:proofErr w:type="spellStart"/>
      <w:r w:rsidRPr="00C956CE">
        <w:rPr>
          <w:rFonts w:cstheme="majorBidi"/>
          <w:i/>
          <w:iCs/>
        </w:rPr>
        <w:t>S.mutans</w:t>
      </w:r>
      <w:proofErr w:type="spellEnd"/>
      <w:r w:rsidRPr="00C956CE">
        <w:rPr>
          <w:rFonts w:cstheme="majorBidi"/>
          <w:i/>
          <w:iCs/>
        </w:rPr>
        <w:t xml:space="preserve"> </w:t>
      </w:r>
      <w:proofErr w:type="spellStart"/>
      <w:r w:rsidRPr="00C956CE">
        <w:rPr>
          <w:rFonts w:cstheme="majorBidi"/>
          <w:i/>
          <w:iCs/>
        </w:rPr>
        <w:t>C.albicans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440"/>
        <w:gridCol w:w="2160"/>
        <w:gridCol w:w="1440"/>
        <w:gridCol w:w="1553"/>
        <w:gridCol w:w="1099"/>
      </w:tblGrid>
      <w:tr w:rsidR="00C956CE" w:rsidRPr="00C956CE" w14:paraId="128298BC" w14:textId="77777777" w:rsidTr="007A32DF">
        <w:trPr>
          <w:jc w:val="center"/>
        </w:trPr>
        <w:tc>
          <w:tcPr>
            <w:tcW w:w="1345" w:type="dxa"/>
            <w:tcBorders>
              <w:left w:val="nil"/>
              <w:bottom w:val="single" w:sz="4" w:space="0" w:color="auto"/>
              <w:right w:val="nil"/>
            </w:tcBorders>
          </w:tcPr>
          <w:p w14:paraId="17B6428A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Group I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6237502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Group J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594CB580" w14:textId="5D6DF670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Mean Difference (I-J)</w:t>
            </w:r>
          </w:p>
        </w:tc>
        <w:tc>
          <w:tcPr>
            <w:tcW w:w="29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DBDF4A" w14:textId="77777777" w:rsidR="00C956CE" w:rsidRPr="007A32DF" w:rsidRDefault="00C956CE" w:rsidP="006613D9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95% CI for mean</w:t>
            </w:r>
          </w:p>
          <w:p w14:paraId="04121A64" w14:textId="4C959794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Lower band  Upper band</w:t>
            </w:r>
          </w:p>
        </w:tc>
        <w:tc>
          <w:tcPr>
            <w:tcW w:w="1099" w:type="dxa"/>
            <w:tcBorders>
              <w:left w:val="nil"/>
              <w:bottom w:val="single" w:sz="4" w:space="0" w:color="auto"/>
              <w:right w:val="nil"/>
            </w:tcBorders>
          </w:tcPr>
          <w:p w14:paraId="458B0F39" w14:textId="6EF3E7B0" w:rsidR="00C956CE" w:rsidRPr="007A32DF" w:rsidRDefault="00D7608C" w:rsidP="00D7608C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 xml:space="preserve">   </w:t>
            </w:r>
            <w:r w:rsidR="00C956CE" w:rsidRPr="007A32DF">
              <w:rPr>
                <w:rFonts w:cstheme="majorBidi"/>
                <w:b/>
                <w:bCs/>
              </w:rPr>
              <w:t>Sig</w:t>
            </w:r>
          </w:p>
          <w:p w14:paraId="02D3CD96" w14:textId="5B2F6C1D" w:rsidR="00C956CE" w:rsidRPr="007A32DF" w:rsidRDefault="00D7608C" w:rsidP="00D7608C">
            <w:pPr>
              <w:ind w:left="0" w:right="0" w:firstLine="0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P-value</w:t>
            </w:r>
          </w:p>
        </w:tc>
      </w:tr>
      <w:tr w:rsidR="00C956CE" w:rsidRPr="00C956CE" w14:paraId="012E4CA4" w14:textId="77777777" w:rsidTr="007A32DF">
        <w:trPr>
          <w:jc w:val="center"/>
        </w:trPr>
        <w:tc>
          <w:tcPr>
            <w:tcW w:w="1345" w:type="dxa"/>
            <w:tcBorders>
              <w:left w:val="nil"/>
              <w:bottom w:val="nil"/>
              <w:right w:val="nil"/>
            </w:tcBorders>
          </w:tcPr>
          <w:p w14:paraId="372A2257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Control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6743D5E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2%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14633038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-1.019857</w:t>
            </w:r>
            <w:r w:rsidRPr="00C956CE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C3D8B7E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-1.12710</w:t>
            </w:r>
          </w:p>
        </w:tc>
        <w:tc>
          <w:tcPr>
            <w:tcW w:w="1553" w:type="dxa"/>
            <w:tcBorders>
              <w:left w:val="nil"/>
              <w:bottom w:val="nil"/>
              <w:right w:val="nil"/>
            </w:tcBorders>
          </w:tcPr>
          <w:p w14:paraId="201D2EA0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-0.91261</w:t>
            </w:r>
          </w:p>
        </w:tc>
        <w:tc>
          <w:tcPr>
            <w:tcW w:w="1099" w:type="dxa"/>
            <w:tcBorders>
              <w:left w:val="nil"/>
              <w:bottom w:val="nil"/>
              <w:right w:val="nil"/>
            </w:tcBorders>
          </w:tcPr>
          <w:p w14:paraId="1A927F67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0.000</w:t>
            </w:r>
          </w:p>
        </w:tc>
      </w:tr>
      <w:tr w:rsidR="00C956CE" w:rsidRPr="00C956CE" w14:paraId="36E38F19" w14:textId="77777777" w:rsidTr="007A32DF">
        <w:trPr>
          <w:jc w:val="center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83EE839" w14:textId="77777777" w:rsidR="00C956CE" w:rsidRPr="007A32DF" w:rsidRDefault="00C956CE" w:rsidP="006613D9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5FB8D6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3%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42BECA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-2.018571</w:t>
            </w:r>
            <w:r w:rsidRPr="00C956CE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9E0514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-2.12582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335A4DC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-1.91133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C027F89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0.000</w:t>
            </w:r>
          </w:p>
        </w:tc>
      </w:tr>
      <w:tr w:rsidR="00C956CE" w:rsidRPr="00C956CE" w14:paraId="63E6BFBD" w14:textId="77777777" w:rsidTr="007A32DF">
        <w:trPr>
          <w:jc w:val="center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2F59450" w14:textId="77777777" w:rsidR="00C956CE" w:rsidRPr="007A32DF" w:rsidRDefault="00C956CE" w:rsidP="006613D9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479FEC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5%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CEF8EE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-2.525429</w:t>
            </w:r>
            <w:r w:rsidRPr="00C956CE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306DEC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-2.63267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FF5B7B3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-2.41818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0951F83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0.000</w:t>
            </w:r>
          </w:p>
        </w:tc>
      </w:tr>
      <w:tr w:rsidR="00C956CE" w:rsidRPr="00C956CE" w14:paraId="5300EF21" w14:textId="77777777" w:rsidTr="007A32DF">
        <w:trPr>
          <w:jc w:val="center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656A15F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2%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79844A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3%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D4EF5D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-0.998714</w:t>
            </w:r>
            <w:r w:rsidRPr="00C956CE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EF8C84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-1.10596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BEE739A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-0.89147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5D5B801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0.000</w:t>
            </w:r>
          </w:p>
        </w:tc>
      </w:tr>
      <w:tr w:rsidR="00C956CE" w:rsidRPr="00C956CE" w14:paraId="1276A825" w14:textId="77777777" w:rsidTr="007A32DF">
        <w:trPr>
          <w:jc w:val="center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5E2ACFD" w14:textId="77777777" w:rsidR="00C956CE" w:rsidRPr="007A32DF" w:rsidRDefault="00C956CE" w:rsidP="006613D9">
            <w:pPr>
              <w:ind w:left="0" w:right="0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13443F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5%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2DF2AA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-1.505571</w:t>
            </w:r>
            <w:r w:rsidRPr="00C956CE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C32C11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-1.61282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57E4685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-1.39833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8641496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0.000</w:t>
            </w:r>
          </w:p>
        </w:tc>
      </w:tr>
      <w:tr w:rsidR="00C956CE" w:rsidRPr="00C956CE" w14:paraId="1C186E28" w14:textId="77777777" w:rsidTr="007A32DF">
        <w:trPr>
          <w:jc w:val="center"/>
        </w:trPr>
        <w:tc>
          <w:tcPr>
            <w:tcW w:w="1345" w:type="dxa"/>
            <w:tcBorders>
              <w:top w:val="nil"/>
              <w:left w:val="nil"/>
              <w:right w:val="nil"/>
            </w:tcBorders>
          </w:tcPr>
          <w:p w14:paraId="6D1D4B43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3%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7DD2F8B" w14:textId="77777777" w:rsidR="00C956CE" w:rsidRPr="007A32DF" w:rsidRDefault="00C956CE" w:rsidP="006613D9">
            <w:pPr>
              <w:ind w:left="0" w:right="0" w:firstLine="0"/>
              <w:jc w:val="center"/>
              <w:rPr>
                <w:rFonts w:cstheme="majorBidi"/>
                <w:b/>
                <w:bCs/>
              </w:rPr>
            </w:pPr>
            <w:r w:rsidRPr="007A32DF">
              <w:rPr>
                <w:rFonts w:cstheme="majorBidi"/>
                <w:b/>
                <w:bCs/>
              </w:rPr>
              <w:t>5% Tio</w:t>
            </w:r>
            <w:r w:rsidRPr="007A32DF">
              <w:rPr>
                <w:rFonts w:cstheme="majorBidi"/>
                <w:b/>
                <w:bCs/>
                <w:vertAlign w:val="subscript"/>
              </w:rPr>
              <w:t>2</w:t>
            </w:r>
            <w:r w:rsidRPr="007A32DF">
              <w:rPr>
                <w:rFonts w:cstheme="majorBidi"/>
                <w:b/>
                <w:bCs/>
              </w:rPr>
              <w:t>NPs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1B75B80C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-0.506857</w:t>
            </w:r>
            <w:r w:rsidRPr="00C956CE">
              <w:rPr>
                <w:rFonts w:cstheme="majorBidi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E2261F4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-0.61410</w:t>
            </w:r>
          </w:p>
        </w:tc>
        <w:tc>
          <w:tcPr>
            <w:tcW w:w="1553" w:type="dxa"/>
            <w:tcBorders>
              <w:top w:val="nil"/>
              <w:left w:val="nil"/>
              <w:right w:val="nil"/>
            </w:tcBorders>
          </w:tcPr>
          <w:p w14:paraId="58148CF4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-0.39961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</w:tcPr>
          <w:p w14:paraId="27705923" w14:textId="77777777" w:rsidR="00C956CE" w:rsidRPr="00C956CE" w:rsidRDefault="00C956CE" w:rsidP="006613D9">
            <w:pPr>
              <w:ind w:left="0" w:right="0"/>
              <w:jc w:val="center"/>
              <w:rPr>
                <w:rFonts w:cstheme="majorBidi"/>
              </w:rPr>
            </w:pPr>
            <w:r w:rsidRPr="00C956CE">
              <w:rPr>
                <w:rFonts w:cstheme="majorBidi"/>
              </w:rPr>
              <w:t>0.000</w:t>
            </w:r>
          </w:p>
        </w:tc>
      </w:tr>
    </w:tbl>
    <w:p w14:paraId="2104E49E" w14:textId="77777777" w:rsidR="00C956CE" w:rsidRPr="00C956CE" w:rsidRDefault="00C956CE" w:rsidP="00C956CE">
      <w:pPr>
        <w:ind w:firstLine="0"/>
        <w:rPr>
          <w:rFonts w:cstheme="majorBidi"/>
        </w:rPr>
      </w:pPr>
    </w:p>
    <w:p w14:paraId="502AFB4E" w14:textId="2EBFD58B" w:rsidR="00CD2368" w:rsidRDefault="00A46898" w:rsidP="00403379">
      <w:pPr>
        <w:spacing w:before="60" w:after="240" w:line="240" w:lineRule="auto"/>
        <w:ind w:firstLine="0"/>
        <w:rPr>
          <w:rFonts w:cstheme="majorBidi"/>
        </w:rPr>
      </w:pPr>
      <w:r>
        <w:rPr>
          <w:rFonts w:cstheme="majorBidi"/>
        </w:rPr>
        <w:t xml:space="preserve">An </w:t>
      </w:r>
      <w:r w:rsidR="009B2BBA" w:rsidRPr="009B2BBA">
        <w:rPr>
          <w:rFonts w:cstheme="majorBidi"/>
        </w:rPr>
        <w:t xml:space="preserve">Independent sample </w:t>
      </w:r>
      <w:r>
        <w:rPr>
          <w:rFonts w:cstheme="majorBidi"/>
        </w:rPr>
        <w:t>t-test</w:t>
      </w:r>
      <w:r w:rsidR="009B2BBA" w:rsidRPr="009B2BBA">
        <w:rPr>
          <w:rFonts w:cstheme="majorBidi"/>
        </w:rPr>
        <w:t xml:space="preserve"> was used to evaluate whether </w:t>
      </w:r>
      <w:r w:rsidR="009B2BBA" w:rsidRPr="009B2BBA">
        <w:rPr>
          <w:rFonts w:cstheme="majorBidi"/>
          <w:i/>
          <w:iCs/>
        </w:rPr>
        <w:t xml:space="preserve">S. </w:t>
      </w:r>
      <w:proofErr w:type="spellStart"/>
      <w:r w:rsidR="009B2BBA" w:rsidRPr="009B2BBA">
        <w:rPr>
          <w:rFonts w:cstheme="majorBidi"/>
          <w:i/>
          <w:iCs/>
        </w:rPr>
        <w:t>mutans</w:t>
      </w:r>
      <w:proofErr w:type="spellEnd"/>
      <w:r w:rsidR="009B2BBA" w:rsidRPr="009B2BBA">
        <w:rPr>
          <w:rFonts w:cstheme="majorBidi"/>
        </w:rPr>
        <w:t xml:space="preserve"> and </w:t>
      </w:r>
      <w:r w:rsidR="009B2BBA" w:rsidRPr="009B2BBA">
        <w:rPr>
          <w:rFonts w:cstheme="majorBidi"/>
          <w:i/>
          <w:iCs/>
        </w:rPr>
        <w:t>C. albicans</w:t>
      </w:r>
      <w:r w:rsidR="009B2BBA" w:rsidRPr="009B2BBA">
        <w:rPr>
          <w:rFonts w:cstheme="majorBidi"/>
        </w:rPr>
        <w:t xml:space="preserve"> </w:t>
      </w:r>
      <w:r w:rsidR="00A90C5B">
        <w:rPr>
          <w:rFonts w:cstheme="majorBidi"/>
        </w:rPr>
        <w:t>differ</w:t>
      </w:r>
      <w:r w:rsidR="009B2BBA" w:rsidRPr="009B2BBA">
        <w:rPr>
          <w:rFonts w:cstheme="majorBidi"/>
        </w:rPr>
        <w:t xml:space="preserve"> significantly in their inhibition zone. The result </w:t>
      </w:r>
      <w:r w:rsidR="00A90C5B" w:rsidRPr="009B2BBA">
        <w:rPr>
          <w:rFonts w:cstheme="majorBidi"/>
        </w:rPr>
        <w:t>specified</w:t>
      </w:r>
      <w:r w:rsidR="009B2BBA" w:rsidRPr="009B2BBA">
        <w:rPr>
          <w:rFonts w:cstheme="majorBidi"/>
        </w:rPr>
        <w:t xml:space="preserve"> that the mean of </w:t>
      </w:r>
      <w:r>
        <w:rPr>
          <w:rFonts w:cstheme="majorBidi"/>
        </w:rPr>
        <w:t xml:space="preserve">the </w:t>
      </w:r>
      <w:r w:rsidR="009B2BBA" w:rsidRPr="009B2BBA">
        <w:rPr>
          <w:rFonts w:cstheme="majorBidi"/>
        </w:rPr>
        <w:t xml:space="preserve">inhibition zone for </w:t>
      </w:r>
      <w:r w:rsidR="009B2BBA" w:rsidRPr="009B2BBA">
        <w:rPr>
          <w:rFonts w:cstheme="majorBidi"/>
          <w:i/>
          <w:iCs/>
        </w:rPr>
        <w:t xml:space="preserve">S. </w:t>
      </w:r>
      <w:proofErr w:type="spellStart"/>
      <w:r w:rsidR="009B2BBA" w:rsidRPr="009B2BBA">
        <w:rPr>
          <w:rFonts w:cstheme="majorBidi"/>
          <w:i/>
          <w:iCs/>
        </w:rPr>
        <w:t>mutans</w:t>
      </w:r>
      <w:proofErr w:type="spellEnd"/>
      <w:r w:rsidR="009B2BBA" w:rsidRPr="009B2BBA">
        <w:rPr>
          <w:rFonts w:cstheme="majorBidi"/>
        </w:rPr>
        <w:t xml:space="preserve"> and </w:t>
      </w:r>
      <w:r w:rsidR="009B2BBA" w:rsidRPr="009B2BBA">
        <w:rPr>
          <w:rFonts w:cstheme="majorBidi"/>
          <w:i/>
          <w:iCs/>
        </w:rPr>
        <w:t>C. albicans</w:t>
      </w:r>
      <w:r w:rsidR="009B2BBA" w:rsidRPr="009B2BBA">
        <w:rPr>
          <w:rFonts w:cstheme="majorBidi"/>
        </w:rPr>
        <w:t xml:space="preserve"> </w:t>
      </w:r>
      <w:r>
        <w:rPr>
          <w:rFonts w:cstheme="majorBidi"/>
        </w:rPr>
        <w:t>was</w:t>
      </w:r>
      <w:r w:rsidR="009B2BBA" w:rsidRPr="009B2BBA">
        <w:rPr>
          <w:rFonts w:cstheme="majorBidi"/>
        </w:rPr>
        <w:t xml:space="preserve"> statistically significant as shown in </w:t>
      </w:r>
      <w:r w:rsidR="00A90C5B">
        <w:rPr>
          <w:rFonts w:cstheme="majorBidi"/>
        </w:rPr>
        <w:t>T</w:t>
      </w:r>
      <w:r w:rsidR="009B2BBA" w:rsidRPr="009B2BBA">
        <w:rPr>
          <w:rFonts w:cstheme="majorBidi"/>
        </w:rPr>
        <w:t xml:space="preserve">able (5). The means indicated that </w:t>
      </w:r>
      <w:r w:rsidR="009B2BBA" w:rsidRPr="009B2BBA">
        <w:rPr>
          <w:rFonts w:cstheme="majorBidi"/>
          <w:i/>
          <w:iCs/>
        </w:rPr>
        <w:t xml:space="preserve">S. </w:t>
      </w:r>
      <w:proofErr w:type="spellStart"/>
      <w:r w:rsidR="009B2BBA" w:rsidRPr="009B2BBA">
        <w:rPr>
          <w:rFonts w:cstheme="majorBidi"/>
          <w:i/>
          <w:iCs/>
        </w:rPr>
        <w:t>mutans</w:t>
      </w:r>
      <w:proofErr w:type="spellEnd"/>
      <w:r w:rsidR="009B2BBA" w:rsidRPr="009B2BBA">
        <w:rPr>
          <w:rFonts w:cstheme="majorBidi"/>
        </w:rPr>
        <w:t xml:space="preserve"> (M = 2.41236, SD = 1.61205) showed significantly more inhibition zone than </w:t>
      </w:r>
      <w:r w:rsidR="009B2BBA" w:rsidRPr="009B2BBA">
        <w:rPr>
          <w:rFonts w:cstheme="majorBidi"/>
          <w:i/>
          <w:iCs/>
        </w:rPr>
        <w:t>C. albicans</w:t>
      </w:r>
      <w:r w:rsidR="009B2BBA" w:rsidRPr="009B2BBA">
        <w:rPr>
          <w:rFonts w:cstheme="majorBidi"/>
        </w:rPr>
        <w:t xml:space="preserve"> (M=1.5917, SD=0.99070).</w:t>
      </w:r>
    </w:p>
    <w:p w14:paraId="2B9557E2" w14:textId="67AEC648" w:rsidR="00D91C50" w:rsidRPr="006613D9" w:rsidRDefault="006613D9" w:rsidP="00403379">
      <w:pPr>
        <w:spacing w:before="60" w:after="240" w:line="240" w:lineRule="auto"/>
        <w:jc w:val="center"/>
        <w:rPr>
          <w:rFonts w:cstheme="majorBidi"/>
        </w:rPr>
      </w:pPr>
      <w:r w:rsidRPr="007A32DF">
        <w:rPr>
          <w:rFonts w:cstheme="majorBidi"/>
          <w:b/>
          <w:bCs/>
        </w:rPr>
        <w:t>Table 5:</w:t>
      </w:r>
      <w:r w:rsidRPr="006613D9">
        <w:rPr>
          <w:rFonts w:cstheme="majorBidi"/>
        </w:rPr>
        <w:t xml:space="preserve"> </w:t>
      </w:r>
      <w:proofErr w:type="spellStart"/>
      <w:r w:rsidRPr="006613D9">
        <w:rPr>
          <w:rFonts w:cstheme="majorBidi"/>
        </w:rPr>
        <w:t>Independed</w:t>
      </w:r>
      <w:proofErr w:type="spellEnd"/>
      <w:r w:rsidRPr="006613D9">
        <w:rPr>
          <w:rFonts w:cstheme="majorBidi"/>
        </w:rPr>
        <w:t xml:space="preserve"> Student T-test for </w:t>
      </w:r>
      <w:r w:rsidRPr="006613D9">
        <w:rPr>
          <w:rFonts w:cstheme="majorBidi"/>
          <w:i/>
          <w:iCs/>
        </w:rPr>
        <w:t xml:space="preserve">S. </w:t>
      </w:r>
      <w:proofErr w:type="spellStart"/>
      <w:r w:rsidRPr="006613D9">
        <w:rPr>
          <w:rFonts w:cstheme="majorBidi"/>
          <w:i/>
          <w:iCs/>
        </w:rPr>
        <w:t>mutans</w:t>
      </w:r>
      <w:proofErr w:type="spellEnd"/>
      <w:r w:rsidRPr="006613D9">
        <w:rPr>
          <w:rFonts w:cstheme="majorBidi"/>
        </w:rPr>
        <w:t xml:space="preserve"> and </w:t>
      </w:r>
      <w:r w:rsidRPr="006613D9">
        <w:rPr>
          <w:rFonts w:cstheme="majorBidi"/>
          <w:i/>
          <w:iCs/>
        </w:rPr>
        <w:t>C. albicans</w:t>
      </w:r>
      <w:r w:rsidRPr="006613D9">
        <w:rPr>
          <w:rFonts w:cstheme="majorBidi"/>
        </w:rPr>
        <w:t>.</w:t>
      </w:r>
    </w:p>
    <w:tbl>
      <w:tblPr>
        <w:tblW w:w="936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630"/>
        <w:gridCol w:w="1170"/>
        <w:gridCol w:w="810"/>
        <w:gridCol w:w="1080"/>
        <w:gridCol w:w="1350"/>
        <w:gridCol w:w="1260"/>
      </w:tblGrid>
      <w:tr w:rsidR="006613D9" w:rsidRPr="006613D9" w14:paraId="4D349E8D" w14:textId="77777777" w:rsidTr="00403379">
        <w:trPr>
          <w:cantSplit/>
          <w:trHeight w:val="444"/>
          <w:jc w:val="center"/>
        </w:trPr>
        <w:tc>
          <w:tcPr>
            <w:tcW w:w="2340" w:type="dxa"/>
            <w:vMerge w:val="restart"/>
            <w:shd w:val="clear" w:color="auto" w:fill="FFFFFF"/>
          </w:tcPr>
          <w:p w14:paraId="714AA14A" w14:textId="77777777" w:rsidR="006613D9" w:rsidRPr="006613D9" w:rsidRDefault="006613D9" w:rsidP="006613D9">
            <w:pPr>
              <w:ind w:left="0" w:right="0"/>
              <w:jc w:val="center"/>
              <w:rPr>
                <w:rFonts w:cstheme="majorBidi"/>
              </w:rPr>
            </w:pPr>
          </w:p>
        </w:tc>
        <w:tc>
          <w:tcPr>
            <w:tcW w:w="1350" w:type="dxa"/>
            <w:gridSpan w:val="2"/>
            <w:shd w:val="clear" w:color="auto" w:fill="FFFFFF"/>
          </w:tcPr>
          <w:p w14:paraId="571A97D5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proofErr w:type="spellStart"/>
            <w:r w:rsidRPr="006613D9">
              <w:rPr>
                <w:rFonts w:cstheme="majorBidi"/>
              </w:rPr>
              <w:t>Levene's</w:t>
            </w:r>
            <w:proofErr w:type="spellEnd"/>
            <w:r w:rsidRPr="006613D9">
              <w:rPr>
                <w:rFonts w:cstheme="majorBidi"/>
              </w:rPr>
              <w:t xml:space="preserve"> Test for Equality of Variances</w:t>
            </w:r>
          </w:p>
        </w:tc>
        <w:tc>
          <w:tcPr>
            <w:tcW w:w="5670" w:type="dxa"/>
            <w:gridSpan w:val="5"/>
            <w:shd w:val="clear" w:color="auto" w:fill="FFFFFF"/>
          </w:tcPr>
          <w:p w14:paraId="323F9B46" w14:textId="77777777" w:rsidR="006613D9" w:rsidRPr="006613D9" w:rsidRDefault="006613D9" w:rsidP="006613D9">
            <w:pPr>
              <w:ind w:left="0" w:right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t-test for Equality of Means</w:t>
            </w:r>
          </w:p>
        </w:tc>
      </w:tr>
      <w:tr w:rsidR="006613D9" w:rsidRPr="006613D9" w14:paraId="6E4A0C29" w14:textId="77777777" w:rsidTr="00403379">
        <w:trPr>
          <w:cantSplit/>
          <w:trHeight w:val="479"/>
          <w:jc w:val="center"/>
        </w:trPr>
        <w:tc>
          <w:tcPr>
            <w:tcW w:w="2340" w:type="dxa"/>
            <w:vMerge/>
            <w:shd w:val="clear" w:color="auto" w:fill="FFFFFF"/>
          </w:tcPr>
          <w:p w14:paraId="76B3640E" w14:textId="77777777" w:rsidR="006613D9" w:rsidRPr="006613D9" w:rsidRDefault="006613D9" w:rsidP="006613D9">
            <w:pPr>
              <w:ind w:left="0" w:right="0"/>
              <w:jc w:val="center"/>
              <w:rPr>
                <w:rFonts w:cstheme="majorBidi"/>
              </w:rPr>
            </w:pPr>
          </w:p>
        </w:tc>
        <w:tc>
          <w:tcPr>
            <w:tcW w:w="720" w:type="dxa"/>
            <w:shd w:val="clear" w:color="auto" w:fill="FFFFFF"/>
          </w:tcPr>
          <w:p w14:paraId="5B126F4F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F</w:t>
            </w:r>
          </w:p>
        </w:tc>
        <w:tc>
          <w:tcPr>
            <w:tcW w:w="630" w:type="dxa"/>
            <w:shd w:val="clear" w:color="auto" w:fill="FFFFFF"/>
          </w:tcPr>
          <w:p w14:paraId="6D451E36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Sig.</w:t>
            </w:r>
          </w:p>
        </w:tc>
        <w:tc>
          <w:tcPr>
            <w:tcW w:w="1170" w:type="dxa"/>
            <w:shd w:val="clear" w:color="auto" w:fill="FFFFFF"/>
          </w:tcPr>
          <w:p w14:paraId="0FA4E8C5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t</w:t>
            </w:r>
          </w:p>
        </w:tc>
        <w:tc>
          <w:tcPr>
            <w:tcW w:w="810" w:type="dxa"/>
            <w:shd w:val="clear" w:color="auto" w:fill="FFFFFF"/>
          </w:tcPr>
          <w:p w14:paraId="44827774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df</w:t>
            </w:r>
          </w:p>
        </w:tc>
        <w:tc>
          <w:tcPr>
            <w:tcW w:w="1080" w:type="dxa"/>
            <w:shd w:val="clear" w:color="auto" w:fill="FFFFFF"/>
          </w:tcPr>
          <w:p w14:paraId="54910B81" w14:textId="0721129D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Sig.(2 tailed)</w:t>
            </w:r>
          </w:p>
        </w:tc>
        <w:tc>
          <w:tcPr>
            <w:tcW w:w="1350" w:type="dxa"/>
            <w:shd w:val="clear" w:color="auto" w:fill="FFFFFF"/>
          </w:tcPr>
          <w:p w14:paraId="5B733EDC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Mean Difference</w:t>
            </w:r>
          </w:p>
        </w:tc>
        <w:tc>
          <w:tcPr>
            <w:tcW w:w="1260" w:type="dxa"/>
            <w:shd w:val="clear" w:color="auto" w:fill="FFFFFF"/>
          </w:tcPr>
          <w:p w14:paraId="6F3F6672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Std. Error Difference</w:t>
            </w:r>
          </w:p>
        </w:tc>
      </w:tr>
      <w:tr w:rsidR="006613D9" w:rsidRPr="006613D9" w14:paraId="75E29B99" w14:textId="77777777" w:rsidTr="00403379">
        <w:trPr>
          <w:cantSplit/>
          <w:trHeight w:val="226"/>
          <w:jc w:val="center"/>
        </w:trPr>
        <w:tc>
          <w:tcPr>
            <w:tcW w:w="2340" w:type="dxa"/>
            <w:vMerge w:val="restart"/>
            <w:shd w:val="clear" w:color="auto" w:fill="FFFFFF"/>
            <w:vAlign w:val="center"/>
          </w:tcPr>
          <w:p w14:paraId="29C17EB3" w14:textId="47A60E6D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 xml:space="preserve">Equal variances </w:t>
            </w:r>
            <w:r w:rsidR="00A90C5B" w:rsidRPr="006613D9">
              <w:rPr>
                <w:rFonts w:cstheme="majorBidi"/>
              </w:rPr>
              <w:t>assumed.</w:t>
            </w:r>
          </w:p>
          <w:p w14:paraId="7F2671F7" w14:textId="05385EF5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Equal variances not assumed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0EF01E0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8.204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C27ACA3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0.006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916E73F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2.295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EB22ED6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54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4BB7E23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0.026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7E2FFFA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0.820536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A82C594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0.357582</w:t>
            </w:r>
          </w:p>
        </w:tc>
      </w:tr>
      <w:tr w:rsidR="006613D9" w:rsidRPr="006613D9" w14:paraId="7EBF2D38" w14:textId="77777777" w:rsidTr="00403379">
        <w:trPr>
          <w:cantSplit/>
          <w:trHeight w:val="233"/>
          <w:jc w:val="center"/>
        </w:trPr>
        <w:tc>
          <w:tcPr>
            <w:tcW w:w="2340" w:type="dxa"/>
            <w:vMerge/>
            <w:shd w:val="clear" w:color="auto" w:fill="FFFFFF"/>
            <w:vAlign w:val="center"/>
          </w:tcPr>
          <w:p w14:paraId="11783ED0" w14:textId="77777777" w:rsidR="006613D9" w:rsidRPr="006613D9" w:rsidRDefault="006613D9" w:rsidP="006613D9">
            <w:pPr>
              <w:ind w:left="0" w:right="0"/>
              <w:jc w:val="center"/>
              <w:rPr>
                <w:rFonts w:cstheme="majorBidi"/>
              </w:rPr>
            </w:pPr>
          </w:p>
        </w:tc>
        <w:tc>
          <w:tcPr>
            <w:tcW w:w="720" w:type="dxa"/>
            <w:shd w:val="clear" w:color="auto" w:fill="FFFFFF"/>
          </w:tcPr>
          <w:p w14:paraId="4D0E5959" w14:textId="77777777" w:rsidR="006613D9" w:rsidRPr="006613D9" w:rsidRDefault="006613D9" w:rsidP="006613D9">
            <w:pPr>
              <w:ind w:left="0" w:right="0"/>
              <w:jc w:val="center"/>
              <w:rPr>
                <w:rFonts w:cstheme="majorBidi"/>
              </w:rPr>
            </w:pPr>
          </w:p>
        </w:tc>
        <w:tc>
          <w:tcPr>
            <w:tcW w:w="630" w:type="dxa"/>
            <w:shd w:val="clear" w:color="auto" w:fill="FFFFFF"/>
          </w:tcPr>
          <w:p w14:paraId="3A86967B" w14:textId="77777777" w:rsidR="006613D9" w:rsidRPr="006613D9" w:rsidRDefault="006613D9" w:rsidP="006613D9">
            <w:pPr>
              <w:ind w:left="0" w:right="0"/>
              <w:jc w:val="center"/>
              <w:rPr>
                <w:rFonts w:cstheme="majorBid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847BCC8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2.295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5322252A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44.849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FF8944C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0.026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E5E11DB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0.820536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9DFEE20" w14:textId="77777777" w:rsidR="006613D9" w:rsidRPr="006613D9" w:rsidRDefault="006613D9" w:rsidP="006613D9">
            <w:pPr>
              <w:ind w:left="0" w:right="0" w:firstLine="0"/>
              <w:jc w:val="center"/>
              <w:rPr>
                <w:rFonts w:cstheme="majorBidi"/>
              </w:rPr>
            </w:pPr>
            <w:r w:rsidRPr="006613D9">
              <w:rPr>
                <w:rFonts w:cstheme="majorBidi"/>
              </w:rPr>
              <w:t>0.357582</w:t>
            </w:r>
          </w:p>
        </w:tc>
      </w:tr>
    </w:tbl>
    <w:p w14:paraId="756571DE" w14:textId="77777777" w:rsidR="00622EFD" w:rsidRPr="006A70F3" w:rsidRDefault="00622EFD" w:rsidP="00D91C50">
      <w:pPr>
        <w:ind w:left="0" w:firstLine="0"/>
        <w:rPr>
          <w:rFonts w:cstheme="majorBidi"/>
        </w:rPr>
      </w:pPr>
    </w:p>
    <w:p w14:paraId="49027494" w14:textId="77777777" w:rsidR="00D91C50" w:rsidRPr="00A90C5B" w:rsidRDefault="00D91C50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 w:rsidRPr="00A90C5B">
        <w:rPr>
          <w:rFonts w:cstheme="majorBidi"/>
          <w:b/>
          <w:bCs/>
        </w:rPr>
        <w:t xml:space="preserve">Surface detail reproduction </w:t>
      </w:r>
    </w:p>
    <w:p w14:paraId="7E3F34E4" w14:textId="20F97824" w:rsidR="00D91C50" w:rsidRPr="00D91C50" w:rsidRDefault="00D91C50" w:rsidP="00403379">
      <w:pPr>
        <w:spacing w:before="60" w:after="240" w:line="240" w:lineRule="auto"/>
        <w:ind w:firstLine="0"/>
        <w:rPr>
          <w:rFonts w:cstheme="majorBidi"/>
        </w:rPr>
      </w:pPr>
      <w:r w:rsidRPr="00D91C50">
        <w:rPr>
          <w:rFonts w:cstheme="majorBidi"/>
        </w:rPr>
        <w:t xml:space="preserve">The alginate used in this study </w:t>
      </w:r>
      <w:r w:rsidR="006664F1">
        <w:rPr>
          <w:rFonts w:cstheme="majorBidi"/>
        </w:rPr>
        <w:t xml:space="preserve">is </w:t>
      </w:r>
      <w:r w:rsidRPr="00D91C50">
        <w:rPr>
          <w:rFonts w:cstheme="majorBidi"/>
        </w:rPr>
        <w:t xml:space="preserve">branded as an irreversible hydrocolloid material that </w:t>
      </w:r>
      <w:r w:rsidR="00A90C5B">
        <w:rPr>
          <w:rFonts w:cstheme="majorBidi"/>
        </w:rPr>
        <w:t>satisfies</w:t>
      </w:r>
      <w:r w:rsidRPr="00D91C50">
        <w:rPr>
          <w:rFonts w:cstheme="majorBidi"/>
        </w:rPr>
        <w:t xml:space="preserve"> ISO 21563</w:t>
      </w:r>
      <w:r w:rsidR="006664F1">
        <w:rPr>
          <w:rFonts w:cstheme="majorBidi"/>
        </w:rPr>
        <w:t>.</w:t>
      </w:r>
      <w:r w:rsidRPr="00D91C50">
        <w:rPr>
          <w:rFonts w:cstheme="majorBidi"/>
        </w:rPr>
        <w:t xml:space="preserve"> </w:t>
      </w:r>
      <w:r w:rsidR="006664F1">
        <w:rPr>
          <w:rFonts w:cstheme="majorBidi"/>
        </w:rPr>
        <w:t>A</w:t>
      </w:r>
      <w:r w:rsidRPr="00D91C50">
        <w:rPr>
          <w:rFonts w:cstheme="majorBidi"/>
        </w:rPr>
        <w:t xml:space="preserve">ll the tested groups </w:t>
      </w:r>
      <w:r w:rsidR="006664F1">
        <w:rPr>
          <w:rFonts w:cstheme="majorBidi"/>
        </w:rPr>
        <w:t xml:space="preserve">efficiently </w:t>
      </w:r>
      <w:r w:rsidRPr="00D91C50">
        <w:rPr>
          <w:rFonts w:cstheme="majorBidi"/>
        </w:rPr>
        <w:t xml:space="preserve">and sharply recorded the 75-µm line in the entire length thus </w:t>
      </w:r>
      <w:r w:rsidR="00A90C5B">
        <w:rPr>
          <w:rFonts w:cstheme="majorBidi"/>
        </w:rPr>
        <w:t>satisfying</w:t>
      </w:r>
      <w:r w:rsidRPr="00D91C50">
        <w:rPr>
          <w:rFonts w:cstheme="majorBidi"/>
        </w:rPr>
        <w:t xml:space="preserve"> Owen’s score 1. Regarding 50-µm line, the control group, 2% and 3% groups reproduced that line on the alginate samples surface with Owens score 2 except for 5% TiO</w:t>
      </w:r>
      <w:r w:rsidRPr="00D91C50">
        <w:rPr>
          <w:rFonts w:cstheme="majorBidi"/>
          <w:vertAlign w:val="subscript"/>
        </w:rPr>
        <w:t>2</w:t>
      </w:r>
      <w:r w:rsidRPr="00D91C50">
        <w:rPr>
          <w:rFonts w:cstheme="majorBidi"/>
        </w:rPr>
        <w:t>NPs group that fall into Owens score 3.</w:t>
      </w:r>
    </w:p>
    <w:p w14:paraId="59DD1AF1" w14:textId="038729B6" w:rsidR="00D91C50" w:rsidRPr="00D91C50" w:rsidRDefault="00D91C50" w:rsidP="00403379">
      <w:pPr>
        <w:spacing w:before="60" w:after="240" w:line="240" w:lineRule="auto"/>
        <w:ind w:firstLine="0"/>
        <w:rPr>
          <w:rFonts w:cstheme="majorBidi"/>
        </w:rPr>
      </w:pPr>
      <w:r w:rsidRPr="00D91C50">
        <w:rPr>
          <w:rFonts w:cstheme="majorBidi"/>
        </w:rPr>
        <w:t>As mentioned previously, due to extra high quality of the used alginate in this study, the reproduction of the 20-um line was selected and considered as the base line for comparison between the groups</w:t>
      </w:r>
      <w:r w:rsidR="003D0CD9">
        <w:rPr>
          <w:rFonts w:cstheme="majorBidi"/>
        </w:rPr>
        <w:t>.</w:t>
      </w:r>
      <w:r w:rsidRPr="00D91C50">
        <w:rPr>
          <w:rFonts w:cstheme="majorBidi"/>
        </w:rPr>
        <w:t xml:space="preserve"> </w:t>
      </w:r>
      <w:r w:rsidR="003D0CD9">
        <w:rPr>
          <w:rFonts w:cstheme="majorBidi"/>
        </w:rPr>
        <w:t>T</w:t>
      </w:r>
      <w:r w:rsidRPr="00D91C50">
        <w:rPr>
          <w:rFonts w:cstheme="majorBidi"/>
        </w:rPr>
        <w:t xml:space="preserve">he group that was </w:t>
      </w:r>
      <w:r w:rsidR="00114A2F" w:rsidRPr="00D91C50">
        <w:rPr>
          <w:rFonts w:cstheme="majorBidi"/>
        </w:rPr>
        <w:t>altered</w:t>
      </w:r>
      <w:r w:rsidRPr="00D91C50">
        <w:rPr>
          <w:rFonts w:cstheme="majorBidi"/>
        </w:rPr>
        <w:t xml:space="preserve"> by addition of 5% of TiO</w:t>
      </w:r>
      <w:r w:rsidRPr="00D91C50">
        <w:rPr>
          <w:rFonts w:cstheme="majorBidi"/>
          <w:vertAlign w:val="subscript"/>
        </w:rPr>
        <w:t>2</w:t>
      </w:r>
      <w:r w:rsidRPr="00D91C50">
        <w:rPr>
          <w:rFonts w:cstheme="majorBidi"/>
        </w:rPr>
        <w:t>NPs failed to record the 20-µm line (</w:t>
      </w:r>
      <w:r w:rsidR="003D0CD9">
        <w:rPr>
          <w:rFonts w:cstheme="majorBidi"/>
        </w:rPr>
        <w:t>F</w:t>
      </w:r>
      <w:r w:rsidRPr="00D91C50">
        <w:rPr>
          <w:rFonts w:cstheme="majorBidi"/>
        </w:rPr>
        <w:t xml:space="preserve">igure 5), while the </w:t>
      </w:r>
      <w:r w:rsidR="00114A2F" w:rsidRPr="00D91C50">
        <w:rPr>
          <w:rFonts w:cstheme="majorBidi"/>
        </w:rPr>
        <w:t>rem</w:t>
      </w:r>
      <w:r w:rsidR="00114A2F">
        <w:rPr>
          <w:rFonts w:cstheme="majorBidi"/>
        </w:rPr>
        <w:t>a</w:t>
      </w:r>
      <w:r w:rsidR="00114A2F" w:rsidRPr="00D91C50">
        <w:rPr>
          <w:rFonts w:cstheme="majorBidi"/>
        </w:rPr>
        <w:t>in</w:t>
      </w:r>
      <w:r w:rsidR="00114A2F">
        <w:rPr>
          <w:rFonts w:cstheme="majorBidi"/>
        </w:rPr>
        <w:t>ing</w:t>
      </w:r>
      <w:r w:rsidRPr="00D91C50">
        <w:rPr>
          <w:rFonts w:cstheme="majorBidi"/>
        </w:rPr>
        <w:t xml:space="preserve"> three groups reproduced 20-µm line and this ability is considered as an equivalent to the detail reproduction of the addition silicones according to ISO specifications 4823</w:t>
      </w:r>
      <w:r w:rsidRPr="00D91C50">
        <w:rPr>
          <w:rFonts w:cstheme="majorBidi"/>
          <w:vertAlign w:val="superscript"/>
        </w:rPr>
        <w:t>30</w:t>
      </w:r>
      <w:r w:rsidRPr="00D91C50">
        <w:rPr>
          <w:rFonts w:cstheme="majorBidi"/>
        </w:rPr>
        <w:t xml:space="preserve">. </w:t>
      </w:r>
    </w:p>
    <w:p w14:paraId="5E99C77C" w14:textId="0CBD601D" w:rsidR="00BA4025" w:rsidRPr="00B47E3F" w:rsidRDefault="00D91C50" w:rsidP="00B47E3F">
      <w:pPr>
        <w:jc w:val="center"/>
        <w:rPr>
          <w:rFonts w:asciiTheme="majorBidi" w:hAnsiTheme="majorBidi" w:cstheme="majorBidi"/>
          <w:sz w:val="24"/>
          <w:szCs w:val="24"/>
        </w:rPr>
      </w:pPr>
      <w:r w:rsidRPr="00B23223">
        <w:rPr>
          <w:rFonts w:asciiTheme="majorBidi" w:hAnsiTheme="majorBidi" w:cstheme="majorBidi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581CE019" wp14:editId="2A880D5C">
            <wp:extent cx="5816600" cy="2899396"/>
            <wp:effectExtent l="0" t="0" r="12700" b="1587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6E860A" w14:textId="0FCDCEFD" w:rsidR="00D91C50" w:rsidRDefault="00D91C50" w:rsidP="00D91C50">
      <w:pPr>
        <w:jc w:val="center"/>
        <w:rPr>
          <w:rFonts w:cstheme="majorBidi"/>
        </w:rPr>
      </w:pPr>
      <w:r w:rsidRPr="007A32DF">
        <w:rPr>
          <w:rFonts w:cstheme="majorBidi"/>
          <w:b/>
          <w:bCs/>
        </w:rPr>
        <w:t>Figure 5</w:t>
      </w:r>
      <w:r w:rsidRPr="00D91C50">
        <w:rPr>
          <w:rFonts w:cstheme="majorBidi"/>
        </w:rPr>
        <w:t>: Surface detail reproduction</w:t>
      </w:r>
    </w:p>
    <w:p w14:paraId="2DBFFFA2" w14:textId="4B26B090" w:rsidR="000A2729" w:rsidRPr="000A2729" w:rsidRDefault="007A32DF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>
        <w:rPr>
          <w:rFonts w:cstheme="majorBidi"/>
          <w:b/>
          <w:bCs/>
        </w:rPr>
        <w:t>Discussion</w:t>
      </w:r>
    </w:p>
    <w:p w14:paraId="39BEBE85" w14:textId="01A6BC49" w:rsidR="000A2729" w:rsidRPr="000A2729" w:rsidRDefault="000B5DC6" w:rsidP="000B5DC6">
      <w:pPr>
        <w:spacing w:before="60" w:after="240" w:line="240" w:lineRule="auto"/>
        <w:ind w:firstLine="300"/>
        <w:rPr>
          <w:rFonts w:cstheme="majorBidi"/>
        </w:rPr>
      </w:pPr>
      <w:r>
        <w:rPr>
          <w:rFonts w:cstheme="majorBidi"/>
        </w:rPr>
        <w:t xml:space="preserve"> </w:t>
      </w:r>
      <w:r w:rsidR="000A2729" w:rsidRPr="000A2729">
        <w:rPr>
          <w:rFonts w:cstheme="majorBidi"/>
        </w:rPr>
        <w:t xml:space="preserve">Infection control is a fundamental procedure in dental practice. It is documented that there </w:t>
      </w:r>
      <w:r w:rsidR="00114A2F" w:rsidRPr="000A2729">
        <w:rPr>
          <w:rFonts w:cstheme="majorBidi"/>
        </w:rPr>
        <w:t>are</w:t>
      </w:r>
      <w:r w:rsidR="000A2729" w:rsidRPr="000A2729">
        <w:rPr>
          <w:rFonts w:cstheme="majorBidi"/>
        </w:rPr>
        <w:t xml:space="preserve"> about 750 million microorganisms in only 1 mL of </w:t>
      </w:r>
      <w:r w:rsidR="00114A2F">
        <w:rPr>
          <w:rFonts w:cstheme="majorBidi"/>
        </w:rPr>
        <w:t xml:space="preserve">the </w:t>
      </w:r>
      <w:r w:rsidR="000A2729" w:rsidRPr="000A2729">
        <w:rPr>
          <w:rFonts w:cstheme="majorBidi"/>
        </w:rPr>
        <w:t>saliva of a healthy person</w:t>
      </w:r>
      <w:r w:rsidR="000A2729" w:rsidRPr="000A2729">
        <w:rPr>
          <w:rFonts w:cstheme="majorBidi"/>
          <w:vertAlign w:val="superscript"/>
        </w:rPr>
        <w:t>3</w:t>
      </w:r>
      <w:r w:rsidR="000073D9">
        <w:rPr>
          <w:rFonts w:cstheme="majorBidi"/>
          <w:vertAlign w:val="superscript"/>
        </w:rPr>
        <w:t>1</w:t>
      </w:r>
      <w:r w:rsidR="000A2729" w:rsidRPr="000A2729">
        <w:rPr>
          <w:rFonts w:cstheme="majorBidi"/>
        </w:rPr>
        <w:t>.</w:t>
      </w:r>
    </w:p>
    <w:p w14:paraId="659FD7E5" w14:textId="6FB815FB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</w:rPr>
      </w:pPr>
      <w:bookmarkStart w:id="3" w:name="_Hlk534453905"/>
      <w:r w:rsidRPr="000A2729">
        <w:rPr>
          <w:rFonts w:cstheme="majorBidi"/>
        </w:rPr>
        <w:t xml:space="preserve">According to many </w:t>
      </w:r>
      <w:r w:rsidR="00114A2F">
        <w:rPr>
          <w:rFonts w:cstheme="majorBidi"/>
        </w:rPr>
        <w:t>researchers</w:t>
      </w:r>
      <w:r w:rsidRPr="000A2729">
        <w:rPr>
          <w:rFonts w:cstheme="majorBidi"/>
        </w:rPr>
        <w:t xml:space="preserve">, </w:t>
      </w:r>
      <w:r w:rsidR="00114A2F">
        <w:rPr>
          <w:rFonts w:cstheme="majorBidi"/>
        </w:rPr>
        <w:t>spherical-shaped</w:t>
      </w:r>
      <w:r w:rsidRPr="000A2729">
        <w:rPr>
          <w:rFonts w:cstheme="majorBidi"/>
        </w:rPr>
        <w:t xml:space="preserve"> nanoparticles with </w:t>
      </w:r>
      <w:r w:rsidR="00114A2F">
        <w:rPr>
          <w:rFonts w:cstheme="majorBidi"/>
        </w:rPr>
        <w:t>sizes</w:t>
      </w:r>
      <w:r w:rsidRPr="000A2729">
        <w:rPr>
          <w:rFonts w:cstheme="majorBidi"/>
        </w:rPr>
        <w:t xml:space="preserve"> 15-50nm </w:t>
      </w:r>
      <w:r w:rsidR="00114A2F">
        <w:rPr>
          <w:rFonts w:cstheme="majorBidi"/>
        </w:rPr>
        <w:t>exhibit</w:t>
      </w:r>
      <w:r w:rsidRPr="000A2729">
        <w:rPr>
          <w:rFonts w:cstheme="majorBidi"/>
        </w:rPr>
        <w:t xml:space="preserve"> maximum antimicrobial properties</w:t>
      </w:r>
      <w:r w:rsidRPr="000A2729">
        <w:rPr>
          <w:rFonts w:cstheme="majorBidi"/>
          <w:vertAlign w:val="superscript"/>
        </w:rPr>
        <w:t>3</w:t>
      </w:r>
      <w:r w:rsidR="000073D9">
        <w:rPr>
          <w:rFonts w:cstheme="majorBidi"/>
          <w:vertAlign w:val="superscript"/>
        </w:rPr>
        <w:t>2</w:t>
      </w:r>
      <w:r w:rsidRPr="000A2729">
        <w:rPr>
          <w:rFonts w:cstheme="majorBidi"/>
        </w:rPr>
        <w:t xml:space="preserve">. </w:t>
      </w:r>
      <w:bookmarkEnd w:id="3"/>
      <w:r w:rsidR="00114A2F">
        <w:rPr>
          <w:rFonts w:cstheme="majorBidi"/>
        </w:rPr>
        <w:t>Due to this</w:t>
      </w:r>
      <w:r w:rsidRPr="000A2729">
        <w:rPr>
          <w:rFonts w:cstheme="majorBidi"/>
        </w:rPr>
        <w:t xml:space="preserve">, </w:t>
      </w:r>
      <w:r w:rsidR="00114A2F">
        <w:rPr>
          <w:rFonts w:cstheme="majorBidi"/>
        </w:rPr>
        <w:t>spheric-shaped</w:t>
      </w:r>
      <w:r w:rsidRPr="000A2729">
        <w:rPr>
          <w:rFonts w:cstheme="majorBidi"/>
        </w:rPr>
        <w:t xml:space="preserve"> 20 nm TiO</w:t>
      </w:r>
      <w:r w:rsidRPr="000A2729">
        <w:rPr>
          <w:rFonts w:cstheme="majorBidi"/>
          <w:vertAlign w:val="subscript"/>
        </w:rPr>
        <w:t>2</w:t>
      </w:r>
      <w:r w:rsidRPr="000A2729">
        <w:rPr>
          <w:rFonts w:cstheme="majorBidi"/>
        </w:rPr>
        <w:t xml:space="preserve">NPs </w:t>
      </w:r>
      <w:r w:rsidR="00114A2F">
        <w:rPr>
          <w:rFonts w:cstheme="majorBidi"/>
        </w:rPr>
        <w:t>were</w:t>
      </w:r>
      <w:r w:rsidRPr="000A2729">
        <w:rPr>
          <w:rFonts w:cstheme="majorBidi"/>
        </w:rPr>
        <w:t xml:space="preserve"> chosen for this study. The result of </w:t>
      </w:r>
      <w:r w:rsidR="00114A2F">
        <w:rPr>
          <w:rFonts w:cstheme="majorBidi"/>
        </w:rPr>
        <w:t xml:space="preserve">the </w:t>
      </w:r>
      <w:r w:rsidRPr="000A2729">
        <w:rPr>
          <w:rFonts w:cstheme="majorBidi"/>
        </w:rPr>
        <w:t xml:space="preserve">inhibition zone for </w:t>
      </w:r>
      <w:r w:rsidRPr="000A2729">
        <w:rPr>
          <w:rFonts w:cstheme="majorBidi"/>
          <w:i/>
          <w:iCs/>
        </w:rPr>
        <w:t xml:space="preserve">S. </w:t>
      </w:r>
      <w:proofErr w:type="spellStart"/>
      <w:r w:rsidRPr="000A2729">
        <w:rPr>
          <w:rFonts w:cstheme="majorBidi"/>
          <w:i/>
          <w:iCs/>
        </w:rPr>
        <w:t>mutans</w:t>
      </w:r>
      <w:proofErr w:type="spellEnd"/>
      <w:r w:rsidRPr="000A2729">
        <w:rPr>
          <w:rFonts w:cstheme="majorBidi"/>
        </w:rPr>
        <w:t xml:space="preserve"> showed a significant increase when the percentage of TiO</w:t>
      </w:r>
      <w:r w:rsidRPr="000A2729">
        <w:rPr>
          <w:rFonts w:cstheme="majorBidi"/>
          <w:vertAlign w:val="subscript"/>
        </w:rPr>
        <w:t>2</w:t>
      </w:r>
      <w:r w:rsidRPr="000A2729">
        <w:rPr>
          <w:rFonts w:cstheme="majorBidi"/>
        </w:rPr>
        <w:t xml:space="preserve">NPs increased, </w:t>
      </w:r>
      <w:r w:rsidR="00114A2F">
        <w:rPr>
          <w:rFonts w:cstheme="majorBidi"/>
        </w:rPr>
        <w:t xml:space="preserve">a </w:t>
      </w:r>
      <w:r w:rsidRPr="000A2729">
        <w:rPr>
          <w:rFonts w:cstheme="majorBidi"/>
        </w:rPr>
        <w:t>similar finding was obtained in a study by Al-Hawezi</w:t>
      </w:r>
      <w:r w:rsidRPr="000A2729">
        <w:rPr>
          <w:rFonts w:cstheme="majorBidi"/>
          <w:vertAlign w:val="superscript"/>
        </w:rPr>
        <w:t>13</w:t>
      </w:r>
      <w:r w:rsidRPr="000A2729">
        <w:rPr>
          <w:rFonts w:cstheme="majorBidi"/>
        </w:rPr>
        <w:t xml:space="preserve"> when TiO2NPs </w:t>
      </w:r>
      <w:r w:rsidR="00114A2F">
        <w:rPr>
          <w:rFonts w:cstheme="majorBidi"/>
        </w:rPr>
        <w:t>were in cooperated in</w:t>
      </w:r>
      <w:r w:rsidRPr="000A2729">
        <w:rPr>
          <w:rFonts w:cstheme="majorBidi"/>
        </w:rPr>
        <w:t xml:space="preserve">to </w:t>
      </w:r>
      <w:r w:rsidR="00114A2F">
        <w:rPr>
          <w:rFonts w:cstheme="majorBidi"/>
        </w:rPr>
        <w:t xml:space="preserve">a </w:t>
      </w:r>
      <w:r w:rsidRPr="000A2729">
        <w:rPr>
          <w:rFonts w:cstheme="majorBidi"/>
        </w:rPr>
        <w:t xml:space="preserve">flowable dental composite resin </w:t>
      </w:r>
      <w:r w:rsidR="00114A2F" w:rsidRPr="000A2729">
        <w:rPr>
          <w:rFonts w:cstheme="majorBidi"/>
        </w:rPr>
        <w:t>and</w:t>
      </w:r>
      <w:r w:rsidRPr="000A2729">
        <w:rPr>
          <w:rFonts w:cstheme="majorBidi"/>
        </w:rPr>
        <w:t xml:space="preserve"> agreed with </w:t>
      </w:r>
      <w:r w:rsidR="00114A2F">
        <w:rPr>
          <w:rFonts w:cstheme="majorBidi"/>
        </w:rPr>
        <w:t xml:space="preserve">the </w:t>
      </w:r>
      <w:r w:rsidRPr="000A2729">
        <w:rPr>
          <w:rFonts w:cstheme="majorBidi"/>
        </w:rPr>
        <w:t xml:space="preserve">result obtained in studies done for testing the effect of silver nanoparticles on </w:t>
      </w:r>
      <w:r w:rsidR="00114A2F" w:rsidRPr="000A2729">
        <w:rPr>
          <w:rFonts w:cstheme="majorBidi"/>
          <w:i/>
          <w:iCs/>
        </w:rPr>
        <w:t>S. mutans</w:t>
      </w:r>
      <w:r w:rsidRPr="000A2729">
        <w:rPr>
          <w:rFonts w:cstheme="majorBidi"/>
          <w:vertAlign w:val="superscript"/>
        </w:rPr>
        <w:t>3</w:t>
      </w:r>
      <w:r w:rsidR="000073D9">
        <w:rPr>
          <w:rFonts w:cstheme="majorBidi"/>
          <w:vertAlign w:val="superscript"/>
        </w:rPr>
        <w:t>3</w:t>
      </w:r>
      <w:r w:rsidRPr="000A2729">
        <w:rPr>
          <w:rFonts w:cstheme="majorBidi"/>
          <w:vertAlign w:val="superscript"/>
        </w:rPr>
        <w:t>,3</w:t>
      </w:r>
      <w:r w:rsidR="000073D9">
        <w:rPr>
          <w:rFonts w:cstheme="majorBidi"/>
          <w:vertAlign w:val="superscript"/>
        </w:rPr>
        <w:t>4</w:t>
      </w:r>
      <w:r w:rsidRPr="000A2729">
        <w:rPr>
          <w:rFonts w:cstheme="majorBidi"/>
        </w:rPr>
        <w:t>.</w:t>
      </w:r>
    </w:p>
    <w:p w14:paraId="402A5564" w14:textId="1175B972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</w:rPr>
      </w:pPr>
      <w:r w:rsidRPr="000A2729">
        <w:rPr>
          <w:rFonts w:eastAsia="Times New Roman" w:cstheme="majorBidi"/>
        </w:rPr>
        <w:t xml:space="preserve">The antibacterial activity of </w:t>
      </w:r>
      <w:r w:rsidRPr="000A2729">
        <w:rPr>
          <w:rFonts w:cstheme="majorBidi"/>
        </w:rPr>
        <w:t>TiO</w:t>
      </w:r>
      <w:r w:rsidRPr="000A2729">
        <w:rPr>
          <w:rFonts w:cstheme="majorBidi"/>
          <w:vertAlign w:val="subscript"/>
        </w:rPr>
        <w:t>2</w:t>
      </w:r>
      <w:r w:rsidRPr="000A2729">
        <w:rPr>
          <w:rFonts w:cstheme="majorBidi"/>
        </w:rPr>
        <w:t>NPs</w:t>
      </w:r>
      <w:r w:rsidRPr="000A2729">
        <w:rPr>
          <w:rFonts w:eastAsia="Times New Roman" w:cstheme="majorBidi"/>
        </w:rPr>
        <w:t xml:space="preserve"> </w:t>
      </w:r>
      <w:r w:rsidR="00114A2F">
        <w:rPr>
          <w:rFonts w:eastAsia="Times New Roman" w:cstheme="majorBidi"/>
        </w:rPr>
        <w:t xml:space="preserve">is </w:t>
      </w:r>
      <w:r w:rsidR="00114A2F" w:rsidRPr="000A2729">
        <w:rPr>
          <w:rFonts w:eastAsia="Times New Roman" w:cstheme="majorBidi"/>
        </w:rPr>
        <w:t>practically</w:t>
      </w:r>
      <w:r w:rsidRPr="000A2729">
        <w:rPr>
          <w:rFonts w:eastAsia="Times New Roman" w:cstheme="majorBidi"/>
        </w:rPr>
        <w:t xml:space="preserve"> due to a reaction of the high surface energy TiO</w:t>
      </w:r>
      <w:r w:rsidRPr="000A2729">
        <w:rPr>
          <w:rFonts w:eastAsia="Times New Roman" w:cstheme="majorBidi"/>
          <w:vertAlign w:val="subscript"/>
        </w:rPr>
        <w:t>2</w:t>
      </w:r>
      <w:r w:rsidRPr="000A2729">
        <w:rPr>
          <w:rFonts w:eastAsia="Times New Roman" w:cstheme="majorBidi"/>
        </w:rPr>
        <w:t>NPs with water. TiO</w:t>
      </w:r>
      <w:r w:rsidRPr="000A2729">
        <w:rPr>
          <w:rFonts w:eastAsia="Times New Roman" w:cstheme="majorBidi"/>
          <w:vertAlign w:val="subscript"/>
        </w:rPr>
        <w:t>2</w:t>
      </w:r>
      <w:r w:rsidRPr="000A2729">
        <w:rPr>
          <w:rFonts w:eastAsia="Times New Roman" w:cstheme="majorBidi"/>
        </w:rPr>
        <w:t xml:space="preserve">NPs </w:t>
      </w:r>
      <w:r w:rsidR="00114A2F">
        <w:rPr>
          <w:rFonts w:eastAsia="Times New Roman" w:cstheme="majorBidi"/>
        </w:rPr>
        <w:t>release</w:t>
      </w:r>
      <w:r w:rsidRPr="000A2729">
        <w:rPr>
          <w:rFonts w:eastAsia="Times New Roman" w:cstheme="majorBidi"/>
        </w:rPr>
        <w:t xml:space="preserve"> free radicals which are considered a potent oxidizing agent (</w:t>
      </w:r>
      <w:r w:rsidRPr="000A2729">
        <w:rPr>
          <w:rFonts w:cstheme="majorBidi"/>
        </w:rPr>
        <w:t>Reactive oxygen species</w:t>
      </w:r>
      <w:r w:rsidRPr="000A2729">
        <w:rPr>
          <w:rFonts w:eastAsia="Times New Roman" w:cstheme="majorBidi"/>
        </w:rPr>
        <w:t>) that ultimately destroy the cell membrane</w:t>
      </w:r>
      <w:r w:rsidRPr="000A2729">
        <w:rPr>
          <w:rFonts w:eastAsia="Times New Roman" w:cstheme="majorBidi"/>
          <w:vertAlign w:val="superscript"/>
        </w:rPr>
        <w:t>3</w:t>
      </w:r>
      <w:r w:rsidR="000073D9">
        <w:rPr>
          <w:rFonts w:eastAsia="Times New Roman" w:cstheme="majorBidi"/>
          <w:vertAlign w:val="superscript"/>
        </w:rPr>
        <w:t>5</w:t>
      </w:r>
      <w:r w:rsidRPr="000A2729">
        <w:rPr>
          <w:rFonts w:eastAsia="Times New Roman" w:cstheme="majorBidi"/>
        </w:rPr>
        <w:t xml:space="preserve"> or alternatively, in the absence of light, </w:t>
      </w:r>
      <w:r w:rsidRPr="000A2729">
        <w:rPr>
          <w:rFonts w:cstheme="majorBidi"/>
        </w:rPr>
        <w:t xml:space="preserve">direct contact and adsorption of cells </w:t>
      </w:r>
      <w:r w:rsidR="00114A2F">
        <w:rPr>
          <w:rFonts w:cstheme="majorBidi"/>
        </w:rPr>
        <w:t>onto</w:t>
      </w:r>
      <w:r w:rsidRPr="000A2729">
        <w:rPr>
          <w:rFonts w:cstheme="majorBidi"/>
        </w:rPr>
        <w:t xml:space="preserve"> TiO2NPs may cause a loss of bacterial cell membrane</w:t>
      </w:r>
      <w:r w:rsidRPr="000A2729">
        <w:rPr>
          <w:rFonts w:cstheme="majorBidi"/>
          <w:vertAlign w:val="superscript"/>
        </w:rPr>
        <w:t>3</w:t>
      </w:r>
      <w:r w:rsidR="000073D9">
        <w:rPr>
          <w:rFonts w:cstheme="majorBidi"/>
          <w:vertAlign w:val="superscript"/>
        </w:rPr>
        <w:t>6</w:t>
      </w:r>
      <w:r w:rsidRPr="000A2729">
        <w:rPr>
          <w:rFonts w:cstheme="majorBidi"/>
        </w:rPr>
        <w:t>.</w:t>
      </w:r>
    </w:p>
    <w:p w14:paraId="331AB811" w14:textId="15D73624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</w:rPr>
      </w:pPr>
      <w:r w:rsidRPr="000A2729">
        <w:rPr>
          <w:rFonts w:eastAsia="AdvTimes" w:cstheme="majorBidi"/>
        </w:rPr>
        <w:t xml:space="preserve">Additionally, reports in the literature have </w:t>
      </w:r>
      <w:r w:rsidRPr="000A2729">
        <w:rPr>
          <w:rFonts w:cstheme="majorBidi"/>
        </w:rPr>
        <w:t>shown that electrostatic attraction plays a great role in the bactericidal effect of the material</w:t>
      </w:r>
      <w:r w:rsidRPr="000A2729">
        <w:rPr>
          <w:rFonts w:cstheme="majorBidi"/>
          <w:vertAlign w:val="superscript"/>
        </w:rPr>
        <w:t>3</w:t>
      </w:r>
      <w:r w:rsidR="000073D9">
        <w:rPr>
          <w:rFonts w:cstheme="majorBidi"/>
          <w:vertAlign w:val="superscript"/>
        </w:rPr>
        <w:t>7</w:t>
      </w:r>
      <w:r w:rsidRPr="000A2729">
        <w:rPr>
          <w:rFonts w:cstheme="majorBidi"/>
        </w:rPr>
        <w:t>.</w:t>
      </w:r>
      <w:r w:rsidR="00114A2F">
        <w:rPr>
          <w:rFonts w:cstheme="majorBidi"/>
        </w:rPr>
        <w:t xml:space="preserve"> </w:t>
      </w:r>
      <w:r w:rsidRPr="000A2729">
        <w:rPr>
          <w:rFonts w:cstheme="majorBidi"/>
        </w:rPr>
        <w:t>T</w:t>
      </w:r>
      <w:r w:rsidRPr="000A2729">
        <w:rPr>
          <w:rFonts w:eastAsia="MinionPro-Regular" w:cstheme="majorBidi"/>
        </w:rPr>
        <w:t xml:space="preserve">his attraction probably </w:t>
      </w:r>
      <w:r w:rsidR="00114A2F">
        <w:rPr>
          <w:rFonts w:eastAsia="MinionPro-Regular" w:cstheme="majorBidi"/>
        </w:rPr>
        <w:t>overcomes</w:t>
      </w:r>
      <w:r w:rsidRPr="000A2729">
        <w:rPr>
          <w:rFonts w:eastAsia="MinionPro-Regular" w:cstheme="majorBidi"/>
        </w:rPr>
        <w:t xml:space="preserve"> other factors, such as </w:t>
      </w:r>
      <w:r w:rsidR="00114A2F">
        <w:rPr>
          <w:rFonts w:eastAsia="MinionPro-Regular" w:cstheme="majorBidi"/>
        </w:rPr>
        <w:t xml:space="preserve">the </w:t>
      </w:r>
      <w:r w:rsidRPr="000A2729">
        <w:rPr>
          <w:rFonts w:eastAsia="MinionPro-Regular" w:cstheme="majorBidi"/>
        </w:rPr>
        <w:t>size and shape of NPs which can influence bacterial cell death</w:t>
      </w:r>
      <w:r w:rsidRPr="000A2729">
        <w:rPr>
          <w:rFonts w:eastAsia="MinionPro-Regular" w:cstheme="majorBidi"/>
          <w:vertAlign w:val="superscript"/>
        </w:rPr>
        <w:t>3</w:t>
      </w:r>
      <w:r w:rsidR="000073D9">
        <w:rPr>
          <w:rFonts w:eastAsia="MinionPro-Regular" w:cstheme="majorBidi"/>
          <w:vertAlign w:val="superscript"/>
        </w:rPr>
        <w:t>8</w:t>
      </w:r>
      <w:r w:rsidRPr="000A2729">
        <w:rPr>
          <w:rFonts w:cstheme="majorBidi"/>
        </w:rPr>
        <w:t xml:space="preserve">. </w:t>
      </w:r>
    </w:p>
    <w:p w14:paraId="23143CBE" w14:textId="355B6721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</w:rPr>
      </w:pPr>
      <w:r w:rsidRPr="000A2729">
        <w:rPr>
          <w:rFonts w:cstheme="majorBidi"/>
        </w:rPr>
        <w:t xml:space="preserve">The antifungal effect of TiO2NPs against </w:t>
      </w:r>
      <w:r w:rsidRPr="000A2729">
        <w:rPr>
          <w:rFonts w:cstheme="majorBidi"/>
          <w:i/>
          <w:iCs/>
        </w:rPr>
        <w:t xml:space="preserve">C. </w:t>
      </w:r>
      <w:proofErr w:type="spellStart"/>
      <w:r w:rsidRPr="000A2729">
        <w:rPr>
          <w:rFonts w:cstheme="majorBidi"/>
          <w:i/>
          <w:iCs/>
        </w:rPr>
        <w:t>albicnas</w:t>
      </w:r>
      <w:proofErr w:type="spellEnd"/>
      <w:r w:rsidRPr="000A2729">
        <w:rPr>
          <w:rFonts w:cstheme="majorBidi"/>
        </w:rPr>
        <w:t xml:space="preserve"> was obvious in the modified groups when compared to control group, this finding agrees with results of a study</w:t>
      </w:r>
      <w:r w:rsidR="000073D9">
        <w:rPr>
          <w:rFonts w:cstheme="majorBidi"/>
          <w:vertAlign w:val="superscript"/>
        </w:rPr>
        <w:t>39</w:t>
      </w:r>
      <w:r w:rsidRPr="000A2729">
        <w:rPr>
          <w:rFonts w:cstheme="majorBidi"/>
        </w:rPr>
        <w:t xml:space="preserve"> who found that </w:t>
      </w:r>
      <w:r w:rsidRPr="000A2729">
        <w:rPr>
          <w:rFonts w:cstheme="majorBidi"/>
          <w:shd w:val="clear" w:color="auto" w:fill="FFFFFF"/>
        </w:rPr>
        <w:t>up to 65% of the </w:t>
      </w:r>
      <w:r w:rsidRPr="000A2729">
        <w:rPr>
          <w:rStyle w:val="Emphasis"/>
          <w:rFonts w:cstheme="majorBidi"/>
          <w:color w:val="000000" w:themeColor="text1"/>
          <w:shd w:val="clear" w:color="auto" w:fill="FFFFFF"/>
        </w:rPr>
        <w:t>C. albicans</w:t>
      </w:r>
      <w:r w:rsidRPr="000A2729">
        <w:rPr>
          <w:rFonts w:cstheme="majorBidi"/>
          <w:shd w:val="clear" w:color="auto" w:fill="FFFFFF"/>
        </w:rPr>
        <w:t xml:space="preserve"> were killed after exposure to 100 </w:t>
      </w:r>
      <w:proofErr w:type="spellStart"/>
      <w:r w:rsidRPr="000A2729">
        <w:rPr>
          <w:rFonts w:cstheme="majorBidi"/>
          <w:shd w:val="clear" w:color="auto" w:fill="FFFFFF"/>
        </w:rPr>
        <w:t>μg</w:t>
      </w:r>
      <w:proofErr w:type="spellEnd"/>
      <w:r w:rsidRPr="000A2729">
        <w:rPr>
          <w:rFonts w:cstheme="majorBidi"/>
          <w:shd w:val="clear" w:color="auto" w:fill="FFFFFF"/>
        </w:rPr>
        <w:t xml:space="preserve">/mL of </w:t>
      </w:r>
      <w:r w:rsidRPr="000A2729">
        <w:rPr>
          <w:rFonts w:cstheme="majorBidi"/>
        </w:rPr>
        <w:t>TiO2NPs</w:t>
      </w:r>
      <w:r w:rsidR="00114A2F">
        <w:rPr>
          <w:rFonts w:cstheme="majorBidi"/>
        </w:rPr>
        <w:t>. A</w:t>
      </w:r>
      <w:r w:rsidRPr="000A2729">
        <w:rPr>
          <w:rFonts w:cstheme="majorBidi"/>
        </w:rPr>
        <w:t xml:space="preserve"> similar results </w:t>
      </w:r>
      <w:r w:rsidR="00114A2F">
        <w:rPr>
          <w:rFonts w:cstheme="majorBidi"/>
        </w:rPr>
        <w:t xml:space="preserve">was concluded with </w:t>
      </w:r>
      <w:r w:rsidRPr="000A2729">
        <w:rPr>
          <w:rFonts w:cstheme="majorBidi"/>
        </w:rPr>
        <w:t xml:space="preserve">of </w:t>
      </w:r>
      <w:proofErr w:type="spellStart"/>
      <w:r w:rsidRPr="000A2729">
        <w:rPr>
          <w:rStyle w:val="author"/>
          <w:rFonts w:cstheme="majorBidi"/>
          <w:color w:val="000000" w:themeColor="text1"/>
          <w:shd w:val="clear" w:color="auto" w:fill="FFFFFF"/>
        </w:rPr>
        <w:t>Kermani</w:t>
      </w:r>
      <w:proofErr w:type="spellEnd"/>
      <w:r w:rsidRPr="000A2729">
        <w:rPr>
          <w:rStyle w:val="author"/>
          <w:rFonts w:cstheme="majorBidi"/>
          <w:color w:val="000000" w:themeColor="text1"/>
          <w:shd w:val="clear" w:color="auto" w:fill="FFFFFF"/>
        </w:rPr>
        <w:t xml:space="preserve"> et al</w:t>
      </w:r>
      <w:r w:rsidRPr="000A2729">
        <w:rPr>
          <w:rFonts w:cstheme="majorBidi"/>
          <w:vertAlign w:val="superscript"/>
        </w:rPr>
        <w:t>4</w:t>
      </w:r>
      <w:r w:rsidR="00660C41">
        <w:rPr>
          <w:rFonts w:cstheme="majorBidi"/>
          <w:vertAlign w:val="superscript"/>
        </w:rPr>
        <w:t>0</w:t>
      </w:r>
      <w:r w:rsidRPr="000A2729">
        <w:rPr>
          <w:rFonts w:cstheme="majorBidi"/>
        </w:rPr>
        <w:t xml:space="preserve"> </w:t>
      </w:r>
      <w:r w:rsidRPr="000A2729">
        <w:rPr>
          <w:rFonts w:cstheme="majorBidi"/>
          <w:shd w:val="clear" w:color="auto" w:fill="FFFFFF"/>
        </w:rPr>
        <w:t>who found that higher percentage of the titanium and zinc oxide nanoparticles increased their toxicity.</w:t>
      </w:r>
    </w:p>
    <w:p w14:paraId="5A6B1352" w14:textId="29F85DD5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  <w:shd w:val="clear" w:color="auto" w:fill="FFFFFF"/>
        </w:rPr>
      </w:pPr>
      <w:r w:rsidRPr="000A2729">
        <w:rPr>
          <w:rFonts w:cstheme="majorBidi"/>
          <w:shd w:val="clear" w:color="auto" w:fill="FFFFFF"/>
        </w:rPr>
        <w:lastRenderedPageBreak/>
        <w:t>It was documented that TiO2NPs </w:t>
      </w:r>
      <w:r w:rsidR="00114A2F">
        <w:rPr>
          <w:rFonts w:cstheme="majorBidi"/>
          <w:shd w:val="clear" w:color="auto" w:fill="FFFFFF"/>
        </w:rPr>
        <w:t>cause</w:t>
      </w:r>
      <w:r w:rsidRPr="000A2729">
        <w:rPr>
          <w:rFonts w:cstheme="majorBidi"/>
          <w:shd w:val="clear" w:color="auto" w:fill="FFFFFF"/>
        </w:rPr>
        <w:t xml:space="preserve"> </w:t>
      </w:r>
      <w:r w:rsidRPr="000A2729">
        <w:rPr>
          <w:rFonts w:cstheme="majorBidi"/>
          <w:i/>
          <w:iCs/>
          <w:shd w:val="clear" w:color="auto" w:fill="FFFFFF"/>
        </w:rPr>
        <w:t>C. albicans</w:t>
      </w:r>
      <w:r w:rsidRPr="000A2729">
        <w:rPr>
          <w:rFonts w:cstheme="majorBidi"/>
          <w:shd w:val="clear" w:color="auto" w:fill="FFFFFF"/>
        </w:rPr>
        <w:t xml:space="preserve"> yeast </w:t>
      </w:r>
      <w:r w:rsidR="00114A2F">
        <w:rPr>
          <w:rFonts w:cstheme="majorBidi"/>
          <w:shd w:val="clear" w:color="auto" w:fill="FFFFFF"/>
        </w:rPr>
        <w:t>cell</w:t>
      </w:r>
      <w:r w:rsidRPr="000A2729">
        <w:rPr>
          <w:rFonts w:cstheme="majorBidi"/>
          <w:shd w:val="clear" w:color="auto" w:fill="FFFFFF"/>
        </w:rPr>
        <w:t xml:space="preserve"> death by producing intracellular reactive oxygen species (ROS), this in turn causes oxidation of the Coenzyme-A and peroxidation of lipids which subsequently </w:t>
      </w:r>
      <w:r w:rsidR="00114A2F">
        <w:rPr>
          <w:rFonts w:cstheme="majorBidi"/>
          <w:shd w:val="clear" w:color="auto" w:fill="FFFFFF"/>
        </w:rPr>
        <w:t>decreases</w:t>
      </w:r>
      <w:r w:rsidRPr="000A2729">
        <w:rPr>
          <w:rFonts w:cstheme="majorBidi"/>
          <w:shd w:val="clear" w:color="auto" w:fill="FFFFFF"/>
        </w:rPr>
        <w:t xml:space="preserve"> respiratory activity and ultimately </w:t>
      </w:r>
      <w:r w:rsidR="00114A2F">
        <w:rPr>
          <w:rFonts w:cstheme="majorBidi"/>
          <w:shd w:val="clear" w:color="auto" w:fill="FFFFFF"/>
        </w:rPr>
        <w:t>causes</w:t>
      </w:r>
      <w:r w:rsidRPr="000A2729">
        <w:rPr>
          <w:rFonts w:cstheme="majorBidi"/>
          <w:shd w:val="clear" w:color="auto" w:fill="FFFFFF"/>
        </w:rPr>
        <w:t xml:space="preserve"> cell death</w:t>
      </w:r>
      <w:r w:rsidRPr="000A2729">
        <w:rPr>
          <w:rFonts w:cstheme="majorBidi"/>
          <w:shd w:val="clear" w:color="auto" w:fill="FFFFFF"/>
          <w:vertAlign w:val="superscript"/>
        </w:rPr>
        <w:t>4</w:t>
      </w:r>
      <w:r w:rsidR="00660C41">
        <w:rPr>
          <w:rFonts w:cstheme="majorBidi"/>
          <w:shd w:val="clear" w:color="auto" w:fill="FFFFFF"/>
          <w:vertAlign w:val="superscript"/>
        </w:rPr>
        <w:t>1</w:t>
      </w:r>
      <w:r w:rsidRPr="000A2729">
        <w:rPr>
          <w:rFonts w:cstheme="majorBidi"/>
          <w:shd w:val="clear" w:color="auto" w:fill="FFFFFF"/>
        </w:rPr>
        <w:t>. Another explanation for the antifungal activity of TiO2NP</w:t>
      </w:r>
      <w:r w:rsidRPr="000A2729">
        <w:rPr>
          <w:rFonts w:cstheme="majorBidi"/>
          <w:shd w:val="clear" w:color="auto" w:fill="FFFFFF"/>
          <w:vertAlign w:val="subscript"/>
        </w:rPr>
        <w:t>S</w:t>
      </w:r>
      <w:r w:rsidRPr="000A2729">
        <w:rPr>
          <w:rFonts w:cstheme="majorBidi"/>
          <w:shd w:val="clear" w:color="auto" w:fill="FFFFFF"/>
        </w:rPr>
        <w:t xml:space="preserve">, is </w:t>
      </w:r>
      <w:r w:rsidR="00114A2F">
        <w:rPr>
          <w:rFonts w:cstheme="majorBidi"/>
          <w:shd w:val="clear" w:color="auto" w:fill="FFFFFF"/>
        </w:rPr>
        <w:t xml:space="preserve">the </w:t>
      </w:r>
      <w:r w:rsidRPr="000A2729">
        <w:rPr>
          <w:rFonts w:cstheme="majorBidi"/>
          <w:shd w:val="clear" w:color="auto" w:fill="FFFFFF"/>
        </w:rPr>
        <w:t xml:space="preserve">tear of </w:t>
      </w:r>
      <w:r w:rsidR="00114A2F">
        <w:rPr>
          <w:rFonts w:cstheme="majorBidi"/>
          <w:shd w:val="clear" w:color="auto" w:fill="FFFFFF"/>
        </w:rPr>
        <w:t xml:space="preserve">the </w:t>
      </w:r>
      <w:r w:rsidRPr="000A2729">
        <w:rPr>
          <w:rFonts w:cstheme="majorBidi"/>
          <w:shd w:val="clear" w:color="auto" w:fill="FFFFFF"/>
        </w:rPr>
        <w:t xml:space="preserve">fungi cell membrane that disturb its integrity, causing loss of intracellular substances </w:t>
      </w:r>
      <w:r w:rsidRPr="000A2729">
        <w:rPr>
          <w:rFonts w:cstheme="majorBidi"/>
          <w:shd w:val="clear" w:color="auto" w:fill="FFFFFF"/>
          <w:vertAlign w:val="superscript"/>
        </w:rPr>
        <w:t>4</w:t>
      </w:r>
      <w:r w:rsidR="00660C41">
        <w:rPr>
          <w:rFonts w:cstheme="majorBidi"/>
          <w:shd w:val="clear" w:color="auto" w:fill="FFFFFF"/>
          <w:vertAlign w:val="superscript"/>
        </w:rPr>
        <w:t>2</w:t>
      </w:r>
      <w:r w:rsidRPr="000A2729">
        <w:rPr>
          <w:rFonts w:cstheme="majorBidi"/>
          <w:shd w:val="clear" w:color="auto" w:fill="FFFFFF"/>
        </w:rPr>
        <w:t>.</w:t>
      </w:r>
    </w:p>
    <w:p w14:paraId="58D129DF" w14:textId="132D7281" w:rsidR="000A2729" w:rsidRPr="000A2729" w:rsidRDefault="00114A2F" w:rsidP="00403379">
      <w:pPr>
        <w:spacing w:before="60" w:after="240" w:line="240" w:lineRule="auto"/>
        <w:ind w:firstLine="0"/>
        <w:rPr>
          <w:rFonts w:cstheme="majorBidi"/>
        </w:rPr>
      </w:pPr>
      <w:r>
        <w:rPr>
          <w:rFonts w:cstheme="majorBidi"/>
        </w:rPr>
        <w:t>Impression-making</w:t>
      </w:r>
      <w:r w:rsidR="000A2729" w:rsidRPr="000A2729">
        <w:rPr>
          <w:rFonts w:cstheme="majorBidi"/>
        </w:rPr>
        <w:t xml:space="preserve"> is a routine in the dental practice, for this purpose</w:t>
      </w:r>
      <w:r>
        <w:rPr>
          <w:rFonts w:cstheme="majorBidi"/>
        </w:rPr>
        <w:t>,</w:t>
      </w:r>
      <w:r w:rsidR="000A2729" w:rsidRPr="000A2729">
        <w:rPr>
          <w:rFonts w:cstheme="majorBidi"/>
        </w:rPr>
        <w:t xml:space="preserve"> a variety of impression materials </w:t>
      </w:r>
      <w:r>
        <w:rPr>
          <w:rFonts w:cstheme="majorBidi"/>
        </w:rPr>
        <w:t xml:space="preserve">are </w:t>
      </w:r>
      <w:r w:rsidR="000A2729" w:rsidRPr="000A2729">
        <w:rPr>
          <w:rFonts w:cstheme="majorBidi"/>
        </w:rPr>
        <w:t xml:space="preserve">available to capture oral cavity structures, the final decision for </w:t>
      </w:r>
      <w:r>
        <w:rPr>
          <w:rFonts w:cstheme="majorBidi"/>
        </w:rPr>
        <w:t xml:space="preserve">the </w:t>
      </w:r>
      <w:r w:rsidR="000A2729" w:rsidRPr="000A2729">
        <w:rPr>
          <w:rFonts w:cstheme="majorBidi"/>
        </w:rPr>
        <w:t xml:space="preserve">selection of these products </w:t>
      </w:r>
      <w:r>
        <w:rPr>
          <w:rFonts w:cstheme="majorBidi"/>
        </w:rPr>
        <w:t xml:space="preserve">is </w:t>
      </w:r>
      <w:r w:rsidR="000A2729" w:rsidRPr="000A2729">
        <w:rPr>
          <w:rFonts w:cstheme="majorBidi"/>
        </w:rPr>
        <w:t>usually based on the required type of dental treatment and clinician’s preference</w:t>
      </w:r>
      <w:r w:rsidR="000A2729" w:rsidRPr="000A2729">
        <w:rPr>
          <w:rFonts w:cstheme="majorBidi"/>
          <w:vertAlign w:val="superscript"/>
        </w:rPr>
        <w:t>4</w:t>
      </w:r>
      <w:r w:rsidR="00660C41">
        <w:rPr>
          <w:rFonts w:cstheme="majorBidi"/>
          <w:vertAlign w:val="superscript"/>
        </w:rPr>
        <w:t>3</w:t>
      </w:r>
      <w:r w:rsidR="000A2729" w:rsidRPr="000A2729">
        <w:rPr>
          <w:rFonts w:cstheme="majorBidi"/>
        </w:rPr>
        <w:t>.</w:t>
      </w:r>
    </w:p>
    <w:p w14:paraId="6B403E3B" w14:textId="34B6145C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</w:rPr>
      </w:pPr>
      <w:r w:rsidRPr="000A2729">
        <w:rPr>
          <w:rFonts w:cstheme="majorBidi"/>
        </w:rPr>
        <w:t xml:space="preserve">Surface detail reproduction </w:t>
      </w:r>
      <w:r w:rsidR="00114A2F">
        <w:rPr>
          <w:rFonts w:cstheme="majorBidi"/>
        </w:rPr>
        <w:t xml:space="preserve">is </w:t>
      </w:r>
      <w:r w:rsidRPr="000A2729">
        <w:rPr>
          <w:rFonts w:cstheme="majorBidi"/>
        </w:rPr>
        <w:t xml:space="preserve">considered fundamental criteria for any irreversible hydrocolloid material, the latest ISO 21563 and ADA specification 18 </w:t>
      </w:r>
      <w:r w:rsidR="00F34CD0">
        <w:rPr>
          <w:rFonts w:cstheme="majorBidi"/>
        </w:rPr>
        <w:t xml:space="preserve">is </w:t>
      </w:r>
      <w:r w:rsidRPr="000A2729">
        <w:rPr>
          <w:rFonts w:cstheme="majorBidi"/>
        </w:rPr>
        <w:t>used as a standard protocol for measuring this property.</w:t>
      </w:r>
    </w:p>
    <w:p w14:paraId="1AA03EB1" w14:textId="75BF30C5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</w:rPr>
      </w:pPr>
      <w:r w:rsidRPr="000A2729">
        <w:rPr>
          <w:rFonts w:cstheme="majorBidi"/>
        </w:rPr>
        <w:t xml:space="preserve">The results of the present study </w:t>
      </w:r>
      <w:r w:rsidR="00F34CD0">
        <w:rPr>
          <w:rFonts w:cstheme="majorBidi"/>
        </w:rPr>
        <w:t>were similar</w:t>
      </w:r>
      <w:r w:rsidRPr="000A2729">
        <w:rPr>
          <w:rFonts w:cstheme="majorBidi"/>
        </w:rPr>
        <w:t xml:space="preserve"> </w:t>
      </w:r>
      <w:r w:rsidR="00F34CD0">
        <w:rPr>
          <w:rFonts w:cstheme="majorBidi"/>
        </w:rPr>
        <w:t xml:space="preserve">to </w:t>
      </w:r>
      <w:r w:rsidRPr="000A2729">
        <w:rPr>
          <w:rFonts w:cstheme="majorBidi"/>
        </w:rPr>
        <w:t xml:space="preserve">another study </w:t>
      </w:r>
      <w:r w:rsidRPr="000A2729">
        <w:rPr>
          <w:rFonts w:cstheme="majorBidi"/>
          <w:vertAlign w:val="superscript"/>
        </w:rPr>
        <w:t>4</w:t>
      </w:r>
      <w:r w:rsidR="00660C41">
        <w:rPr>
          <w:rFonts w:cstheme="majorBidi"/>
          <w:vertAlign w:val="superscript"/>
        </w:rPr>
        <w:t>4</w:t>
      </w:r>
      <w:r w:rsidRPr="000A2729">
        <w:rPr>
          <w:rFonts w:cstheme="majorBidi"/>
          <w:vertAlign w:val="superscript"/>
        </w:rPr>
        <w:t xml:space="preserve"> </w:t>
      </w:r>
      <w:r w:rsidRPr="000A2729">
        <w:rPr>
          <w:rFonts w:cstheme="majorBidi"/>
        </w:rPr>
        <w:t xml:space="preserve">when they found no adverse effect of incorporating up to 1000 ppm of silver nanoparticle on the surface detail reproduction of alginate. This </w:t>
      </w:r>
      <w:r w:rsidR="00F34CD0">
        <w:rPr>
          <w:rFonts w:cstheme="majorBidi"/>
        </w:rPr>
        <w:t>could be the result that the</w:t>
      </w:r>
      <w:r w:rsidRPr="000A2729">
        <w:rPr>
          <w:rFonts w:cstheme="majorBidi"/>
        </w:rPr>
        <w:t xml:space="preserve"> TiO</w:t>
      </w:r>
      <w:r w:rsidRPr="000A2729">
        <w:rPr>
          <w:rFonts w:cstheme="majorBidi"/>
          <w:vertAlign w:val="subscript"/>
        </w:rPr>
        <w:t>2</w:t>
      </w:r>
      <w:r w:rsidRPr="000A2729">
        <w:rPr>
          <w:rFonts w:cstheme="majorBidi"/>
        </w:rPr>
        <w:t xml:space="preserve">NPs </w:t>
      </w:r>
      <w:r w:rsidR="00F34CD0">
        <w:rPr>
          <w:rFonts w:cstheme="majorBidi"/>
        </w:rPr>
        <w:t>were</w:t>
      </w:r>
      <w:r w:rsidRPr="000A2729">
        <w:rPr>
          <w:rFonts w:cstheme="majorBidi"/>
        </w:rPr>
        <w:t xml:space="preserve"> small (20nm) thus the particles were evenly distributed within the alginate matrix and did not </w:t>
      </w:r>
      <w:r w:rsidR="00F34CD0">
        <w:rPr>
          <w:rFonts w:cstheme="majorBidi"/>
        </w:rPr>
        <w:t>influence</w:t>
      </w:r>
      <w:r w:rsidRPr="000A2729">
        <w:rPr>
          <w:rFonts w:cstheme="majorBidi"/>
        </w:rPr>
        <w:t xml:space="preserve"> the intermolecular bond</w:t>
      </w:r>
      <w:r w:rsidR="00F34CD0">
        <w:rPr>
          <w:rFonts w:cstheme="majorBidi"/>
        </w:rPr>
        <w:t>. In addition</w:t>
      </w:r>
      <w:r w:rsidRPr="000A2729">
        <w:rPr>
          <w:rFonts w:cstheme="majorBidi"/>
        </w:rPr>
        <w:t xml:space="preserve">, these nanoparticles </w:t>
      </w:r>
      <w:r w:rsidR="00F34CD0">
        <w:rPr>
          <w:rFonts w:cstheme="majorBidi"/>
        </w:rPr>
        <w:t xml:space="preserve">are </w:t>
      </w:r>
      <w:r w:rsidRPr="000A2729">
        <w:rPr>
          <w:rFonts w:cstheme="majorBidi"/>
        </w:rPr>
        <w:t xml:space="preserve">considered an inert material and do not induce any chemical structure alteration, this fact was supported </w:t>
      </w:r>
      <w:r w:rsidR="00F34CD0">
        <w:rPr>
          <w:rFonts w:cstheme="majorBidi"/>
        </w:rPr>
        <w:t>by</w:t>
      </w:r>
      <w:r w:rsidRPr="000A2729">
        <w:rPr>
          <w:rFonts w:cstheme="majorBidi"/>
        </w:rPr>
        <w:t xml:space="preserve"> the FTIR analysis results.</w:t>
      </w:r>
    </w:p>
    <w:p w14:paraId="1091DD74" w14:textId="1731DED5" w:rsidR="000A2729" w:rsidRDefault="000A2729" w:rsidP="00403379">
      <w:pPr>
        <w:spacing w:before="60" w:after="240" w:line="240" w:lineRule="auto"/>
        <w:ind w:firstLine="0"/>
        <w:rPr>
          <w:rFonts w:cstheme="majorBidi"/>
        </w:rPr>
      </w:pPr>
      <w:r w:rsidRPr="000A2729">
        <w:rPr>
          <w:rFonts w:cstheme="majorBidi"/>
        </w:rPr>
        <w:t>At 5% TiO</w:t>
      </w:r>
      <w:r w:rsidRPr="000A2729">
        <w:rPr>
          <w:rFonts w:cstheme="majorBidi"/>
          <w:vertAlign w:val="subscript"/>
        </w:rPr>
        <w:t>2</w:t>
      </w:r>
      <w:r w:rsidRPr="000A2729">
        <w:rPr>
          <w:rFonts w:cstheme="majorBidi"/>
        </w:rPr>
        <w:t xml:space="preserve">NPs, </w:t>
      </w:r>
      <w:r w:rsidR="00F34CD0">
        <w:rPr>
          <w:rFonts w:cstheme="majorBidi"/>
        </w:rPr>
        <w:t>caused</w:t>
      </w:r>
      <w:r w:rsidRPr="000A2729">
        <w:rPr>
          <w:rFonts w:cstheme="majorBidi"/>
        </w:rPr>
        <w:t xml:space="preserve"> deterioration of the surface detail reproduction and it was impossible to record </w:t>
      </w:r>
      <w:r w:rsidR="00F34CD0">
        <w:rPr>
          <w:rFonts w:cstheme="majorBidi"/>
        </w:rPr>
        <w:t xml:space="preserve">the </w:t>
      </w:r>
      <w:r w:rsidRPr="000A2729">
        <w:rPr>
          <w:rFonts w:cstheme="majorBidi"/>
        </w:rPr>
        <w:t>20-</w:t>
      </w:r>
      <w:r w:rsidR="00F34CD0">
        <w:rPr>
          <w:rFonts w:cstheme="majorBidi"/>
        </w:rPr>
        <w:sym w:font="Symbol" w:char="F06D"/>
      </w:r>
      <w:r w:rsidRPr="000A2729">
        <w:rPr>
          <w:rFonts w:cstheme="majorBidi"/>
        </w:rPr>
        <w:t>m line, this may be due to agglomeration of the used TiO</w:t>
      </w:r>
      <w:r w:rsidRPr="000A2729">
        <w:rPr>
          <w:rFonts w:cstheme="majorBidi"/>
          <w:vertAlign w:val="subscript"/>
        </w:rPr>
        <w:t>2</w:t>
      </w:r>
      <w:r w:rsidRPr="000A2729">
        <w:rPr>
          <w:rFonts w:cstheme="majorBidi"/>
        </w:rPr>
        <w:t xml:space="preserve">NPs inside the alginate matrix </w:t>
      </w:r>
      <w:r w:rsidR="0037663E">
        <w:rPr>
          <w:rFonts w:cstheme="majorBidi"/>
        </w:rPr>
        <w:t>because of</w:t>
      </w:r>
      <w:r w:rsidR="00F34CD0">
        <w:rPr>
          <w:rFonts w:cstheme="majorBidi"/>
        </w:rPr>
        <w:t xml:space="preserve"> their </w:t>
      </w:r>
      <w:r w:rsidRPr="000A2729">
        <w:rPr>
          <w:rFonts w:cstheme="majorBidi"/>
        </w:rPr>
        <w:t xml:space="preserve">high surface energy </w:t>
      </w:r>
      <w:r w:rsidRPr="000A2729">
        <w:rPr>
          <w:rFonts w:cstheme="majorBidi"/>
          <w:vertAlign w:val="superscript"/>
        </w:rPr>
        <w:t>4</w:t>
      </w:r>
      <w:r w:rsidR="00660C41">
        <w:rPr>
          <w:rFonts w:cstheme="majorBidi"/>
          <w:vertAlign w:val="superscript"/>
        </w:rPr>
        <w:t>5</w:t>
      </w:r>
      <w:r w:rsidRPr="000A2729">
        <w:rPr>
          <w:rFonts w:cstheme="majorBidi"/>
        </w:rPr>
        <w:t xml:space="preserve">, this in turn </w:t>
      </w:r>
      <w:r w:rsidR="00F34CD0" w:rsidRPr="000A2729">
        <w:rPr>
          <w:rFonts w:cstheme="majorBidi"/>
        </w:rPr>
        <w:t>triggered</w:t>
      </w:r>
      <w:r w:rsidR="00F34CD0">
        <w:rPr>
          <w:rFonts w:cstheme="majorBidi"/>
        </w:rPr>
        <w:t xml:space="preserve"> a poor</w:t>
      </w:r>
      <w:r w:rsidR="00F34CD0" w:rsidRPr="000A2729">
        <w:rPr>
          <w:rFonts w:cstheme="majorBidi"/>
        </w:rPr>
        <w:t xml:space="preserve"> intermolecular bond</w:t>
      </w:r>
      <w:r w:rsidRPr="000A2729">
        <w:rPr>
          <w:rFonts w:cstheme="majorBidi"/>
        </w:rPr>
        <w:t>.</w:t>
      </w:r>
    </w:p>
    <w:p w14:paraId="392C6855" w14:textId="01E2552D" w:rsidR="000A2729" w:rsidRPr="00403379" w:rsidRDefault="000073D9" w:rsidP="00403379">
      <w:pPr>
        <w:spacing w:before="60" w:after="240" w:line="240" w:lineRule="auto"/>
        <w:ind w:firstLine="0"/>
        <w:rPr>
          <w:rFonts w:cstheme="majorBidi"/>
          <w:color w:val="auto"/>
          <w:shd w:val="clear" w:color="auto" w:fill="FFFFFF"/>
          <w:vertAlign w:val="superscript"/>
        </w:rPr>
      </w:pPr>
      <w:r w:rsidRPr="00E8458D">
        <w:rPr>
          <w:rFonts w:cstheme="majorBidi"/>
          <w:color w:val="auto"/>
        </w:rPr>
        <w:t xml:space="preserve">According to obtained data, the requirements </w:t>
      </w:r>
      <w:r w:rsidR="00F34CD0">
        <w:rPr>
          <w:rFonts w:cstheme="majorBidi"/>
          <w:color w:val="auto"/>
        </w:rPr>
        <w:t>were</w:t>
      </w:r>
      <w:r w:rsidRPr="00E8458D">
        <w:rPr>
          <w:rFonts w:cstheme="majorBidi"/>
          <w:color w:val="auto"/>
        </w:rPr>
        <w:t xml:space="preserve"> met for irreversible hydrocolloid material as the</w:t>
      </w:r>
      <w:r w:rsidRPr="00E8458D">
        <w:rPr>
          <w:rFonts w:cstheme="majorBidi"/>
          <w:color w:val="auto"/>
          <w:shd w:val="clear" w:color="auto" w:fill="FFFFFF"/>
        </w:rPr>
        <w:t xml:space="preserve"> tested groups reproduced the 75</w:t>
      </w:r>
      <w:r w:rsidRPr="00E8458D">
        <w:rPr>
          <w:rFonts w:cstheme="majorBidi"/>
          <w:color w:val="auto"/>
        </w:rPr>
        <w:t xml:space="preserve">-µm </w:t>
      </w:r>
      <w:r w:rsidRPr="00E8458D">
        <w:rPr>
          <w:rFonts w:cstheme="majorBidi"/>
          <w:color w:val="auto"/>
          <w:shd w:val="clear" w:color="auto" w:fill="FFFFFF"/>
        </w:rPr>
        <w:t xml:space="preserve">and </w:t>
      </w:r>
      <w:r w:rsidRPr="00E8458D">
        <w:rPr>
          <w:rFonts w:cstheme="majorBidi"/>
          <w:color w:val="auto"/>
        </w:rPr>
        <w:t xml:space="preserve">50-µm </w:t>
      </w:r>
      <w:r w:rsidRPr="00E8458D">
        <w:rPr>
          <w:rFonts w:cstheme="majorBidi"/>
          <w:color w:val="auto"/>
          <w:shd w:val="clear" w:color="auto" w:fill="FFFFFF"/>
        </w:rPr>
        <w:t>groove which is considered satisfactory for alginate impression materials</w:t>
      </w:r>
      <w:r w:rsidRPr="00E8458D">
        <w:rPr>
          <w:rFonts w:cstheme="majorBidi"/>
          <w:color w:val="auto"/>
          <w:shd w:val="clear" w:color="auto" w:fill="FFFFFF"/>
          <w:vertAlign w:val="superscript"/>
        </w:rPr>
        <w:t>,4</w:t>
      </w:r>
      <w:r w:rsidR="00660C41" w:rsidRPr="00E8458D">
        <w:rPr>
          <w:rFonts w:cstheme="majorBidi"/>
          <w:color w:val="auto"/>
          <w:shd w:val="clear" w:color="auto" w:fill="FFFFFF"/>
          <w:vertAlign w:val="superscript"/>
        </w:rPr>
        <w:t>6.</w:t>
      </w:r>
    </w:p>
    <w:p w14:paraId="46E953C0" w14:textId="5EDE9272" w:rsidR="000A2729" w:rsidRPr="000A2729" w:rsidRDefault="000A2729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 w:rsidRPr="000A2729">
        <w:rPr>
          <w:rFonts w:cstheme="majorBidi"/>
          <w:b/>
          <w:bCs/>
        </w:rPr>
        <w:t>C</w:t>
      </w:r>
      <w:r w:rsidR="007A32DF">
        <w:rPr>
          <w:rFonts w:cstheme="majorBidi"/>
          <w:b/>
          <w:bCs/>
        </w:rPr>
        <w:t>onclusion</w:t>
      </w:r>
    </w:p>
    <w:p w14:paraId="52BB932A" w14:textId="37E3610D" w:rsidR="007A32DF" w:rsidRPr="000A2729" w:rsidRDefault="000B5DC6" w:rsidP="000B5DC6">
      <w:pPr>
        <w:spacing w:before="60" w:after="240" w:line="240" w:lineRule="auto"/>
        <w:ind w:firstLine="300"/>
        <w:rPr>
          <w:rFonts w:cstheme="majorBidi"/>
        </w:rPr>
      </w:pPr>
      <w:r>
        <w:rPr>
          <w:rFonts w:cstheme="majorBidi"/>
        </w:rPr>
        <w:t xml:space="preserve"> </w:t>
      </w:r>
      <w:r w:rsidR="000A2729" w:rsidRPr="000A2729">
        <w:rPr>
          <w:rFonts w:cstheme="majorBidi"/>
        </w:rPr>
        <w:t xml:space="preserve">Within the limitation of this study, we can conclude that </w:t>
      </w:r>
      <w:r w:rsidR="0037663E">
        <w:rPr>
          <w:rFonts w:cstheme="majorBidi"/>
        </w:rPr>
        <w:t xml:space="preserve">the </w:t>
      </w:r>
      <w:r w:rsidR="000A2729" w:rsidRPr="000A2729">
        <w:rPr>
          <w:rFonts w:cstheme="majorBidi"/>
        </w:rPr>
        <w:t xml:space="preserve">addition of TiO2NPs to alginate improved the antimicrobial activity significantly. TiO2NPs </w:t>
      </w:r>
      <w:r w:rsidR="0037663E">
        <w:rPr>
          <w:rFonts w:cstheme="majorBidi"/>
        </w:rPr>
        <w:t xml:space="preserve">are </w:t>
      </w:r>
      <w:r w:rsidR="000A2729" w:rsidRPr="000A2729">
        <w:rPr>
          <w:rFonts w:cstheme="majorBidi"/>
        </w:rPr>
        <w:t xml:space="preserve">more powerful against </w:t>
      </w:r>
      <w:r w:rsidR="000A2729" w:rsidRPr="000A2729">
        <w:rPr>
          <w:rFonts w:cstheme="majorBidi"/>
          <w:i/>
          <w:iCs/>
        </w:rPr>
        <w:t>S.</w:t>
      </w:r>
      <w:r w:rsidR="0037663E">
        <w:rPr>
          <w:rFonts w:cstheme="majorBidi"/>
          <w:i/>
          <w:iCs/>
        </w:rPr>
        <w:t xml:space="preserve"> </w:t>
      </w:r>
      <w:proofErr w:type="spellStart"/>
      <w:r w:rsidR="000A2729" w:rsidRPr="000A2729">
        <w:rPr>
          <w:rFonts w:cstheme="majorBidi"/>
          <w:i/>
          <w:iCs/>
        </w:rPr>
        <w:t>mutans</w:t>
      </w:r>
      <w:proofErr w:type="spellEnd"/>
      <w:r w:rsidR="000A2729" w:rsidRPr="000A2729">
        <w:rPr>
          <w:rFonts w:cstheme="majorBidi"/>
        </w:rPr>
        <w:t xml:space="preserve"> at the same used concentration. </w:t>
      </w:r>
      <w:r w:rsidR="0037663E">
        <w:rPr>
          <w:rFonts w:cstheme="majorBidi"/>
        </w:rPr>
        <w:t>The addition</w:t>
      </w:r>
      <w:r w:rsidR="000A2729" w:rsidRPr="000A2729">
        <w:rPr>
          <w:rFonts w:cstheme="majorBidi"/>
        </w:rPr>
        <w:t xml:space="preserve"> of TiO</w:t>
      </w:r>
      <w:r w:rsidR="000A2729" w:rsidRPr="000A2729">
        <w:rPr>
          <w:rFonts w:cstheme="majorBidi"/>
          <w:vertAlign w:val="subscript"/>
        </w:rPr>
        <w:t>2</w:t>
      </w:r>
      <w:r w:rsidR="000A2729" w:rsidRPr="000A2729">
        <w:rPr>
          <w:rFonts w:cstheme="majorBidi"/>
        </w:rPr>
        <w:t>NPs doesn’t compromise the ISO 21563 requirement for surface detail reproduction.</w:t>
      </w:r>
    </w:p>
    <w:p w14:paraId="15E02330" w14:textId="1819C7AE" w:rsidR="00B275D0" w:rsidRPr="00D76D2F" w:rsidRDefault="007A32DF" w:rsidP="00D76D2F">
      <w:pPr>
        <w:pStyle w:val="MDPI21heading1"/>
        <w:spacing w:before="60" w:after="240" w:line="240" w:lineRule="auto"/>
        <w:ind w:left="720" w:hanging="630"/>
        <w:rPr>
          <w:lang w:val="en-GB"/>
        </w:rPr>
      </w:pPr>
      <w:r>
        <w:rPr>
          <w:rFonts w:cstheme="majorBidi"/>
          <w:b w:val="0"/>
          <w:bCs/>
        </w:rPr>
        <w:t xml:space="preserve">       </w:t>
      </w:r>
      <w:r w:rsidR="00362005" w:rsidRPr="00004DCE">
        <w:rPr>
          <w:lang w:val="en-GB"/>
        </w:rPr>
        <w:t xml:space="preserve">Conflict of interest: </w:t>
      </w:r>
      <w:r w:rsidR="00362005" w:rsidRPr="007E74AB">
        <w:rPr>
          <w:b w:val="0"/>
          <w:bCs/>
          <w:lang w:val="en-GB"/>
        </w:rPr>
        <w:t>None</w:t>
      </w:r>
      <w:r w:rsidR="00362005">
        <w:rPr>
          <w:lang w:val="en-GB"/>
        </w:rPr>
        <w:t>.</w:t>
      </w:r>
    </w:p>
    <w:p w14:paraId="05EA82C9" w14:textId="339EAE5A" w:rsidR="000A2729" w:rsidRPr="00AD76A1" w:rsidRDefault="007A32DF" w:rsidP="00403379">
      <w:pPr>
        <w:spacing w:before="60" w:after="240" w:line="240" w:lineRule="auto"/>
        <w:ind w:firstLine="0"/>
        <w:rPr>
          <w:rFonts w:cstheme="majorBidi"/>
          <w:b/>
          <w:bCs/>
        </w:rPr>
      </w:pPr>
      <w:r>
        <w:rPr>
          <w:rFonts w:cstheme="majorBidi"/>
          <w:b/>
          <w:bCs/>
        </w:rPr>
        <w:t>References</w:t>
      </w:r>
    </w:p>
    <w:p w14:paraId="193CD189" w14:textId="3A38BECA" w:rsidR="00887C01" w:rsidRPr="000B5DC6" w:rsidRDefault="004A7842" w:rsidP="00403379">
      <w:pPr>
        <w:pStyle w:val="MDPI21heading1"/>
        <w:numPr>
          <w:ilvl w:val="0"/>
          <w:numId w:val="41"/>
        </w:numPr>
        <w:spacing w:before="60" w:after="240"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b w:val="0"/>
          <w:bCs/>
          <w:color w:val="auto"/>
          <w:sz w:val="16"/>
          <w:szCs w:val="16"/>
        </w:rPr>
        <w:t>Hamalian</w:t>
      </w:r>
      <w:proofErr w:type="spellEnd"/>
      <w:r w:rsidRPr="000B5DC6">
        <w:rPr>
          <w:b w:val="0"/>
          <w:bCs/>
          <w:color w:val="auto"/>
          <w:sz w:val="16"/>
          <w:szCs w:val="16"/>
        </w:rPr>
        <w:t>,</w:t>
      </w:r>
      <w:r w:rsidR="00701ED9" w:rsidRPr="00701ED9">
        <w:rPr>
          <w:b w:val="0"/>
          <w:bCs/>
          <w:color w:val="auto"/>
          <w:sz w:val="16"/>
          <w:szCs w:val="16"/>
        </w:rPr>
        <w:t xml:space="preserve"> </w:t>
      </w:r>
      <w:r w:rsidR="00701ED9" w:rsidRPr="000B5DC6">
        <w:rPr>
          <w:b w:val="0"/>
          <w:bCs/>
          <w:color w:val="auto"/>
          <w:sz w:val="16"/>
          <w:szCs w:val="16"/>
        </w:rPr>
        <w:t>T. A</w:t>
      </w:r>
      <w:r w:rsidR="007579C7">
        <w:rPr>
          <w:b w:val="0"/>
          <w:bCs/>
          <w:color w:val="auto"/>
          <w:sz w:val="16"/>
          <w:szCs w:val="16"/>
        </w:rPr>
        <w:t>.</w:t>
      </w:r>
      <w:r w:rsidR="00701ED9">
        <w:rPr>
          <w:b w:val="0"/>
          <w:bCs/>
          <w:color w:val="auto"/>
          <w:sz w:val="16"/>
          <w:szCs w:val="16"/>
        </w:rPr>
        <w:t>,</w:t>
      </w:r>
      <w:r w:rsidRPr="000B5DC6">
        <w:rPr>
          <w:b w:val="0"/>
          <w:bCs/>
          <w:color w:val="auto"/>
          <w:sz w:val="16"/>
          <w:szCs w:val="16"/>
        </w:rPr>
        <w:t xml:space="preserve"> Nasr</w:t>
      </w:r>
      <w:r w:rsidR="00701ED9">
        <w:rPr>
          <w:b w:val="0"/>
          <w:bCs/>
          <w:color w:val="auto"/>
          <w:sz w:val="16"/>
          <w:szCs w:val="16"/>
        </w:rPr>
        <w:t xml:space="preserve">, </w:t>
      </w:r>
      <w:r w:rsidR="00701ED9" w:rsidRPr="000B5DC6">
        <w:rPr>
          <w:b w:val="0"/>
          <w:bCs/>
          <w:color w:val="auto"/>
          <w:sz w:val="16"/>
          <w:szCs w:val="16"/>
        </w:rPr>
        <w:t>E</w:t>
      </w:r>
      <w:r w:rsidR="007579C7">
        <w:rPr>
          <w:b w:val="0"/>
          <w:bCs/>
          <w:color w:val="auto"/>
          <w:sz w:val="16"/>
          <w:szCs w:val="16"/>
        </w:rPr>
        <w:t>.,</w:t>
      </w:r>
      <w:r w:rsidRPr="000B5DC6">
        <w:rPr>
          <w:b w:val="0"/>
          <w:bCs/>
          <w:color w:val="auto"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color w:val="auto"/>
          <w:sz w:val="16"/>
          <w:szCs w:val="16"/>
        </w:rPr>
        <w:t>Chidiac</w:t>
      </w:r>
      <w:proofErr w:type="spellEnd"/>
      <w:r w:rsidR="00701ED9">
        <w:rPr>
          <w:rFonts w:cstheme="majorBidi"/>
          <w:b w:val="0"/>
          <w:bCs/>
          <w:color w:val="auto"/>
          <w:sz w:val="16"/>
          <w:szCs w:val="16"/>
        </w:rPr>
        <w:t>,</w:t>
      </w:r>
      <w:r w:rsidR="00701ED9" w:rsidRPr="00701ED9">
        <w:rPr>
          <w:b w:val="0"/>
          <w:bCs/>
          <w:color w:val="auto"/>
          <w:sz w:val="16"/>
          <w:szCs w:val="16"/>
        </w:rPr>
        <w:t xml:space="preserve"> </w:t>
      </w:r>
      <w:r w:rsidR="00701ED9" w:rsidRPr="000B5DC6">
        <w:rPr>
          <w:b w:val="0"/>
          <w:bCs/>
          <w:color w:val="auto"/>
          <w:sz w:val="16"/>
          <w:szCs w:val="16"/>
        </w:rPr>
        <w:t>J.J</w:t>
      </w:r>
      <w:r w:rsidRPr="000B5DC6">
        <w:rPr>
          <w:rFonts w:cstheme="majorBidi"/>
          <w:b w:val="0"/>
          <w:bCs/>
          <w:color w:val="auto"/>
          <w:sz w:val="16"/>
          <w:szCs w:val="16"/>
        </w:rPr>
        <w:t>. Impression Materials in Fixed</w:t>
      </w:r>
      <w:r w:rsidRPr="000B5DC6">
        <w:rPr>
          <w:b w:val="0"/>
          <w:bCs/>
          <w:color w:val="auto"/>
          <w:sz w:val="16"/>
          <w:szCs w:val="16"/>
        </w:rPr>
        <w:t xml:space="preserve"> prosthodontics: influence of choice on clinical procedure. J</w:t>
      </w:r>
      <w:r w:rsidRPr="000B5DC6">
        <w:rPr>
          <w:rFonts w:cs="Segoe UI"/>
          <w:b w:val="0"/>
          <w:bCs/>
          <w:color w:val="auto"/>
          <w:sz w:val="16"/>
          <w:szCs w:val="16"/>
        </w:rPr>
        <w:t> </w:t>
      </w:r>
      <w:proofErr w:type="spellStart"/>
      <w:r w:rsidRPr="000B5DC6">
        <w:rPr>
          <w:rFonts w:cs="Segoe UI"/>
          <w:b w:val="0"/>
          <w:bCs/>
          <w:color w:val="auto"/>
          <w:sz w:val="16"/>
          <w:szCs w:val="16"/>
        </w:rPr>
        <w:t>Prosthodont</w:t>
      </w:r>
      <w:proofErr w:type="spellEnd"/>
      <w:r w:rsidRPr="000B5DC6">
        <w:rPr>
          <w:rFonts w:cs="Segoe UI"/>
          <w:b w:val="0"/>
          <w:bCs/>
          <w:color w:val="auto"/>
          <w:sz w:val="16"/>
          <w:szCs w:val="16"/>
        </w:rPr>
        <w:t xml:space="preserve">. </w:t>
      </w:r>
      <w:r w:rsidRPr="000B5DC6">
        <w:rPr>
          <w:rFonts w:cs="Segoe UI"/>
          <w:b w:val="0"/>
          <w:bCs/>
          <w:color w:val="auto"/>
          <w:sz w:val="16"/>
          <w:szCs w:val="16"/>
          <w:shd w:val="clear" w:color="auto" w:fill="FFFFFF"/>
        </w:rPr>
        <w:t>2011; 20(2):153-60</w:t>
      </w:r>
      <w:r w:rsidRPr="000B5DC6">
        <w:rPr>
          <w:b w:val="0"/>
          <w:bCs/>
          <w:color w:val="auto"/>
          <w:sz w:val="16"/>
          <w:szCs w:val="16"/>
        </w:rPr>
        <w:t>.</w:t>
      </w:r>
    </w:p>
    <w:p w14:paraId="6A7117BB" w14:textId="44BA4D6A" w:rsidR="00103322" w:rsidRPr="000B5DC6" w:rsidRDefault="0099215E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color w:val="auto"/>
          <w:sz w:val="16"/>
          <w:szCs w:val="16"/>
        </w:rPr>
        <w:t>Hansson</w:t>
      </w:r>
      <w:r w:rsidR="00701ED9">
        <w:rPr>
          <w:rFonts w:cstheme="majorBidi"/>
          <w:b w:val="0"/>
          <w:color w:val="auto"/>
          <w:sz w:val="16"/>
          <w:szCs w:val="16"/>
        </w:rPr>
        <w:t>,</w:t>
      </w:r>
      <w:r w:rsidR="00701ED9" w:rsidRPr="00701ED9">
        <w:rPr>
          <w:b w:val="0"/>
          <w:color w:val="auto"/>
          <w:sz w:val="16"/>
          <w:szCs w:val="16"/>
        </w:rPr>
        <w:t xml:space="preserve"> </w:t>
      </w:r>
      <w:r w:rsidR="00701ED9" w:rsidRPr="000B5DC6">
        <w:rPr>
          <w:b w:val="0"/>
          <w:color w:val="auto"/>
          <w:sz w:val="16"/>
          <w:szCs w:val="16"/>
        </w:rPr>
        <w:t>O</w:t>
      </w:r>
      <w:r w:rsidR="007579C7">
        <w:rPr>
          <w:b w:val="0"/>
          <w:color w:val="auto"/>
          <w:sz w:val="16"/>
          <w:szCs w:val="16"/>
        </w:rPr>
        <w:t>.,</w:t>
      </w:r>
      <w:r w:rsidR="00701ED9">
        <w:rPr>
          <w:b w:val="0"/>
          <w:color w:val="auto"/>
          <w:sz w:val="16"/>
          <w:szCs w:val="16"/>
        </w:rPr>
        <w:t xml:space="preserve"> </w:t>
      </w:r>
      <w:r w:rsidRPr="000B5DC6">
        <w:rPr>
          <w:rFonts w:cstheme="majorBidi"/>
          <w:b w:val="0"/>
          <w:color w:val="auto"/>
          <w:sz w:val="16"/>
          <w:szCs w:val="16"/>
        </w:rPr>
        <w:t>Eklund</w:t>
      </w:r>
      <w:r w:rsidR="00701ED9">
        <w:rPr>
          <w:rFonts w:cstheme="majorBidi"/>
          <w:b w:val="0"/>
          <w:color w:val="auto"/>
          <w:sz w:val="16"/>
          <w:szCs w:val="16"/>
        </w:rPr>
        <w:t>, J</w:t>
      </w:r>
      <w:r w:rsidRPr="000B5DC6">
        <w:rPr>
          <w:rFonts w:cstheme="majorBidi"/>
          <w:b w:val="0"/>
          <w:color w:val="auto"/>
          <w:sz w:val="16"/>
          <w:szCs w:val="16"/>
        </w:rPr>
        <w:t>.</w:t>
      </w:r>
      <w:r w:rsidRPr="000B5DC6">
        <w:rPr>
          <w:b w:val="0"/>
          <w:color w:val="auto"/>
          <w:sz w:val="16"/>
          <w:szCs w:val="16"/>
        </w:rPr>
        <w:t xml:space="preserve"> A historical review of hydrocolloids and an investigation of the dimensional accuracy of the new alginates for crown and bridge impressions when using stock trays</w:t>
      </w:r>
      <w:r w:rsidR="00887C01" w:rsidRPr="000B5DC6">
        <w:rPr>
          <w:b w:val="0"/>
          <w:color w:val="auto"/>
          <w:sz w:val="16"/>
          <w:szCs w:val="16"/>
        </w:rPr>
        <w:t xml:space="preserve">. </w:t>
      </w:r>
      <w:proofErr w:type="spellStart"/>
      <w:r w:rsidR="00887C01" w:rsidRPr="000B5DC6">
        <w:rPr>
          <w:b w:val="0"/>
          <w:color w:val="auto"/>
          <w:sz w:val="16"/>
          <w:szCs w:val="16"/>
        </w:rPr>
        <w:t>Swed</w:t>
      </w:r>
      <w:proofErr w:type="spellEnd"/>
      <w:r w:rsidR="00887C01" w:rsidRPr="000B5DC6">
        <w:rPr>
          <w:b w:val="0"/>
          <w:color w:val="auto"/>
          <w:sz w:val="16"/>
          <w:szCs w:val="16"/>
        </w:rPr>
        <w:t xml:space="preserve"> Dent J.</w:t>
      </w:r>
      <w:r w:rsidR="00887C01" w:rsidRPr="000B5DC6">
        <w:rPr>
          <w:rFonts w:cs="Segoe UI"/>
          <w:b w:val="0"/>
          <w:color w:val="auto"/>
          <w:sz w:val="16"/>
          <w:szCs w:val="16"/>
          <w:shd w:val="clear" w:color="auto" w:fill="FFFFFF"/>
        </w:rPr>
        <w:t xml:space="preserve"> 1984;</w:t>
      </w:r>
      <w:r w:rsidR="007922F1">
        <w:rPr>
          <w:rFonts w:cs="Segoe UI"/>
          <w:b w:val="0"/>
          <w:color w:val="auto"/>
          <w:sz w:val="16"/>
          <w:szCs w:val="16"/>
          <w:shd w:val="clear" w:color="auto" w:fill="FFFFFF"/>
        </w:rPr>
        <w:t xml:space="preserve"> </w:t>
      </w:r>
      <w:r w:rsidR="00887C01" w:rsidRPr="000B5DC6">
        <w:rPr>
          <w:rFonts w:cs="Segoe UI"/>
          <w:b w:val="0"/>
          <w:color w:val="auto"/>
          <w:sz w:val="16"/>
          <w:szCs w:val="16"/>
          <w:shd w:val="clear" w:color="auto" w:fill="FFFFFF"/>
        </w:rPr>
        <w:t>8(2):</w:t>
      </w:r>
      <w:r w:rsidR="007922F1">
        <w:rPr>
          <w:rFonts w:cs="Segoe UI"/>
          <w:b w:val="0"/>
          <w:color w:val="auto"/>
          <w:sz w:val="16"/>
          <w:szCs w:val="16"/>
          <w:shd w:val="clear" w:color="auto" w:fill="FFFFFF"/>
        </w:rPr>
        <w:t xml:space="preserve"> </w:t>
      </w:r>
      <w:r w:rsidR="00887C01" w:rsidRPr="000B5DC6">
        <w:rPr>
          <w:rFonts w:cs="Segoe UI"/>
          <w:b w:val="0"/>
          <w:color w:val="auto"/>
          <w:sz w:val="16"/>
          <w:szCs w:val="16"/>
          <w:shd w:val="clear" w:color="auto" w:fill="FFFFFF"/>
        </w:rPr>
        <w:t>81-95.</w:t>
      </w:r>
    </w:p>
    <w:p w14:paraId="3EB2B04D" w14:textId="4D1770AC" w:rsidR="0099215E" w:rsidRPr="000B5DC6" w:rsidRDefault="00103322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color w:val="auto"/>
          <w:sz w:val="16"/>
          <w:szCs w:val="16"/>
        </w:rPr>
      </w:pPr>
      <w:proofErr w:type="spellStart"/>
      <w:r w:rsidRPr="000B5DC6">
        <w:rPr>
          <w:b w:val="0"/>
          <w:color w:val="auto"/>
          <w:sz w:val="16"/>
          <w:szCs w:val="16"/>
        </w:rPr>
        <w:t>Cervino</w:t>
      </w:r>
      <w:proofErr w:type="spellEnd"/>
      <w:r w:rsidRPr="000B5DC6">
        <w:rPr>
          <w:b w:val="0"/>
          <w:color w:val="auto"/>
          <w:sz w:val="16"/>
          <w:szCs w:val="16"/>
        </w:rPr>
        <w:t>,</w:t>
      </w:r>
      <w:r w:rsidR="00701ED9" w:rsidRPr="00701ED9">
        <w:rPr>
          <w:b w:val="0"/>
          <w:color w:val="auto"/>
          <w:sz w:val="16"/>
          <w:szCs w:val="16"/>
        </w:rPr>
        <w:t xml:space="preserve"> </w:t>
      </w:r>
      <w:r w:rsidR="00701ED9" w:rsidRPr="000B5DC6">
        <w:rPr>
          <w:b w:val="0"/>
          <w:color w:val="auto"/>
          <w:sz w:val="16"/>
          <w:szCs w:val="16"/>
        </w:rPr>
        <w:t>G.</w:t>
      </w:r>
      <w:r w:rsidR="00701ED9">
        <w:rPr>
          <w:b w:val="0"/>
          <w:color w:val="auto"/>
          <w:sz w:val="16"/>
          <w:szCs w:val="16"/>
        </w:rPr>
        <w:t>,</w:t>
      </w:r>
      <w:r w:rsidRPr="000B5DC6">
        <w:rPr>
          <w:b w:val="0"/>
          <w:color w:val="auto"/>
          <w:sz w:val="16"/>
          <w:szCs w:val="16"/>
        </w:rPr>
        <w:t xml:space="preserve"> </w:t>
      </w:r>
      <w:proofErr w:type="spellStart"/>
      <w:r w:rsidRPr="000B5DC6">
        <w:rPr>
          <w:b w:val="0"/>
          <w:color w:val="auto"/>
          <w:sz w:val="16"/>
          <w:szCs w:val="16"/>
        </w:rPr>
        <w:t>Fiorillo</w:t>
      </w:r>
      <w:proofErr w:type="spellEnd"/>
      <w:r w:rsidRPr="000B5DC6">
        <w:rPr>
          <w:b w:val="0"/>
          <w:color w:val="auto"/>
          <w:sz w:val="16"/>
          <w:szCs w:val="16"/>
        </w:rPr>
        <w:t>,</w:t>
      </w:r>
      <w:r w:rsidR="00701ED9" w:rsidRPr="00701ED9">
        <w:rPr>
          <w:b w:val="0"/>
          <w:color w:val="auto"/>
          <w:sz w:val="16"/>
          <w:szCs w:val="16"/>
        </w:rPr>
        <w:t xml:space="preserve"> </w:t>
      </w:r>
      <w:r w:rsidR="00701ED9" w:rsidRPr="000B5DC6">
        <w:rPr>
          <w:b w:val="0"/>
          <w:color w:val="auto"/>
          <w:sz w:val="16"/>
          <w:szCs w:val="16"/>
        </w:rPr>
        <w:t>L.</w:t>
      </w:r>
      <w:r w:rsidR="00701ED9">
        <w:rPr>
          <w:b w:val="0"/>
          <w:color w:val="auto"/>
          <w:sz w:val="16"/>
          <w:szCs w:val="16"/>
        </w:rPr>
        <w:t>,</w:t>
      </w:r>
      <w:r w:rsidRPr="000B5DC6">
        <w:rPr>
          <w:b w:val="0"/>
          <w:color w:val="auto"/>
          <w:sz w:val="16"/>
          <w:szCs w:val="16"/>
        </w:rPr>
        <w:t xml:space="preserve"> Herford,</w:t>
      </w:r>
      <w:r w:rsidR="00701ED9" w:rsidRPr="00701ED9">
        <w:rPr>
          <w:b w:val="0"/>
          <w:color w:val="auto"/>
          <w:sz w:val="16"/>
          <w:szCs w:val="16"/>
        </w:rPr>
        <w:t xml:space="preserve"> </w:t>
      </w:r>
      <w:r w:rsidR="00701ED9" w:rsidRPr="000B5DC6">
        <w:rPr>
          <w:b w:val="0"/>
          <w:color w:val="auto"/>
          <w:sz w:val="16"/>
          <w:szCs w:val="16"/>
        </w:rPr>
        <w:t>A.</w:t>
      </w:r>
      <w:r w:rsidR="00701ED9">
        <w:rPr>
          <w:b w:val="0"/>
          <w:color w:val="auto"/>
          <w:sz w:val="16"/>
          <w:szCs w:val="16"/>
        </w:rPr>
        <w:t xml:space="preserve">, </w:t>
      </w:r>
      <w:r w:rsidRPr="000B5DC6">
        <w:rPr>
          <w:b w:val="0"/>
          <w:color w:val="auto"/>
          <w:sz w:val="16"/>
          <w:szCs w:val="16"/>
        </w:rPr>
        <w:t>et al. Alginate Materials and Dental Impression Technique: A Current State of the Art and Application to Dental Practice. Mar Drugs.</w:t>
      </w:r>
      <w:r w:rsidRPr="000B5DC6">
        <w:rPr>
          <w:rFonts w:cs="Segoe UI"/>
          <w:b w:val="0"/>
          <w:color w:val="auto"/>
          <w:sz w:val="16"/>
          <w:szCs w:val="16"/>
        </w:rPr>
        <w:t xml:space="preserve"> </w:t>
      </w:r>
      <w:r w:rsidRPr="000B5DC6">
        <w:rPr>
          <w:rStyle w:val="cit"/>
          <w:rFonts w:cs="Segoe UI"/>
          <w:b w:val="0"/>
          <w:color w:val="auto"/>
          <w:sz w:val="16"/>
          <w:szCs w:val="16"/>
        </w:rPr>
        <w:t>2018;</w:t>
      </w:r>
      <w:r w:rsidR="007922F1">
        <w:rPr>
          <w:rStyle w:val="cit"/>
          <w:rFonts w:cs="Segoe UI"/>
          <w:b w:val="0"/>
          <w:color w:val="auto"/>
          <w:sz w:val="16"/>
          <w:szCs w:val="16"/>
        </w:rPr>
        <w:t xml:space="preserve"> </w:t>
      </w:r>
      <w:r w:rsidRPr="000B5DC6">
        <w:rPr>
          <w:rStyle w:val="cit"/>
          <w:rFonts w:cs="Segoe UI"/>
          <w:b w:val="0"/>
          <w:color w:val="auto"/>
          <w:sz w:val="16"/>
          <w:szCs w:val="16"/>
        </w:rPr>
        <w:t>17(1):</w:t>
      </w:r>
      <w:r w:rsidR="007922F1">
        <w:rPr>
          <w:rStyle w:val="cit"/>
          <w:rFonts w:cs="Segoe UI"/>
          <w:b w:val="0"/>
          <w:color w:val="auto"/>
          <w:sz w:val="16"/>
          <w:szCs w:val="16"/>
        </w:rPr>
        <w:t xml:space="preserve"> </w:t>
      </w:r>
      <w:r w:rsidRPr="000B5DC6">
        <w:rPr>
          <w:rStyle w:val="cit"/>
          <w:rFonts w:cs="Segoe UI"/>
          <w:b w:val="0"/>
          <w:color w:val="auto"/>
          <w:sz w:val="16"/>
          <w:szCs w:val="16"/>
        </w:rPr>
        <w:t>18.</w:t>
      </w:r>
    </w:p>
    <w:p w14:paraId="63E21EEE" w14:textId="772754D4" w:rsidR="007C4E14" w:rsidRPr="000B5DC6" w:rsidRDefault="007C4E14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sz w:val="16"/>
          <w:szCs w:val="16"/>
        </w:rPr>
        <w:lastRenderedPageBreak/>
        <w:t>Glenner</w:t>
      </w:r>
      <w:proofErr w:type="spellEnd"/>
      <w:r w:rsidR="000928E1">
        <w:rPr>
          <w:rFonts w:cstheme="majorBidi"/>
          <w:b w:val="0"/>
          <w:sz w:val="16"/>
          <w:szCs w:val="16"/>
        </w:rPr>
        <w:t>,</w:t>
      </w:r>
      <w:r w:rsidRPr="000B5DC6">
        <w:rPr>
          <w:rFonts w:cstheme="majorBidi"/>
          <w:b w:val="0"/>
          <w:sz w:val="16"/>
          <w:szCs w:val="16"/>
        </w:rPr>
        <w:t xml:space="preserve"> </w:t>
      </w:r>
      <w:r w:rsidR="000928E1" w:rsidRPr="000B5DC6">
        <w:rPr>
          <w:b w:val="0"/>
          <w:color w:val="auto"/>
          <w:sz w:val="16"/>
          <w:szCs w:val="16"/>
        </w:rPr>
        <w:t>R.A.</w:t>
      </w:r>
      <w:r w:rsidR="000928E1">
        <w:rPr>
          <w:b w:val="0"/>
          <w:color w:val="auto"/>
          <w:sz w:val="16"/>
          <w:szCs w:val="16"/>
        </w:rPr>
        <w:t xml:space="preserve"> </w:t>
      </w:r>
      <w:r w:rsidRPr="000B5DC6">
        <w:rPr>
          <w:rFonts w:cstheme="majorBidi"/>
          <w:b w:val="0"/>
          <w:sz w:val="16"/>
          <w:szCs w:val="16"/>
        </w:rPr>
        <w:t>Dental impressions. J Hist Dent. 1997;</w:t>
      </w:r>
      <w:r w:rsidR="007922F1">
        <w:rPr>
          <w:rFonts w:cstheme="majorBidi"/>
          <w:b w:val="0"/>
          <w:sz w:val="16"/>
          <w:szCs w:val="16"/>
        </w:rPr>
        <w:t xml:space="preserve"> </w:t>
      </w:r>
      <w:r w:rsidRPr="000B5DC6">
        <w:rPr>
          <w:rFonts w:cstheme="majorBidi"/>
          <w:b w:val="0"/>
          <w:sz w:val="16"/>
          <w:szCs w:val="16"/>
        </w:rPr>
        <w:t>45(3):</w:t>
      </w:r>
      <w:r w:rsidR="007922F1">
        <w:rPr>
          <w:rFonts w:cstheme="majorBidi"/>
          <w:b w:val="0"/>
          <w:sz w:val="16"/>
          <w:szCs w:val="16"/>
        </w:rPr>
        <w:t xml:space="preserve"> </w:t>
      </w:r>
      <w:r w:rsidRPr="000B5DC6">
        <w:rPr>
          <w:rFonts w:cstheme="majorBidi"/>
          <w:b w:val="0"/>
          <w:sz w:val="16"/>
          <w:szCs w:val="16"/>
        </w:rPr>
        <w:t>127–30.</w:t>
      </w:r>
    </w:p>
    <w:p w14:paraId="25B48858" w14:textId="2478AE0F" w:rsidR="0068597C" w:rsidRPr="000B5DC6" w:rsidRDefault="007C4E14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color w:val="auto"/>
          <w:sz w:val="16"/>
          <w:szCs w:val="16"/>
        </w:rPr>
      </w:pPr>
      <w:r w:rsidRPr="000B5DC6">
        <w:rPr>
          <w:rFonts w:cstheme="majorBidi"/>
          <w:b w:val="0"/>
          <w:color w:val="auto"/>
          <w:sz w:val="16"/>
          <w:szCs w:val="16"/>
        </w:rPr>
        <w:t>Samra</w:t>
      </w:r>
      <w:r w:rsidR="000928E1">
        <w:rPr>
          <w:rFonts w:cstheme="majorBidi"/>
          <w:b w:val="0"/>
          <w:color w:val="auto"/>
          <w:sz w:val="16"/>
          <w:szCs w:val="16"/>
        </w:rPr>
        <w:t>,</w:t>
      </w:r>
      <w:r w:rsidRPr="000B5DC6">
        <w:rPr>
          <w:rFonts w:cstheme="majorBidi"/>
          <w:b w:val="0"/>
          <w:color w:val="auto"/>
          <w:sz w:val="16"/>
          <w:szCs w:val="16"/>
        </w:rPr>
        <w:t xml:space="preserve"> </w:t>
      </w:r>
      <w:r w:rsidR="000928E1" w:rsidRPr="000B5DC6">
        <w:rPr>
          <w:b w:val="0"/>
          <w:color w:val="auto"/>
          <w:sz w:val="16"/>
          <w:szCs w:val="16"/>
        </w:rPr>
        <w:t xml:space="preserve">R.K. </w:t>
      </w:r>
      <w:proofErr w:type="spellStart"/>
      <w:r w:rsidRPr="000B5DC6">
        <w:rPr>
          <w:rFonts w:cstheme="majorBidi"/>
          <w:b w:val="0"/>
          <w:color w:val="auto"/>
          <w:sz w:val="16"/>
          <w:szCs w:val="16"/>
        </w:rPr>
        <w:t>Bhide</w:t>
      </w:r>
      <w:proofErr w:type="spellEnd"/>
      <w:r w:rsidR="000928E1">
        <w:rPr>
          <w:rFonts w:cstheme="majorBidi"/>
          <w:b w:val="0"/>
          <w:color w:val="auto"/>
          <w:sz w:val="16"/>
          <w:szCs w:val="16"/>
        </w:rPr>
        <w:t>,</w:t>
      </w:r>
      <w:r w:rsidR="000928E1" w:rsidRPr="000928E1">
        <w:rPr>
          <w:rFonts w:cstheme="majorBidi"/>
          <w:b w:val="0"/>
          <w:color w:val="auto"/>
          <w:sz w:val="16"/>
          <w:szCs w:val="16"/>
        </w:rPr>
        <w:t xml:space="preserve"> </w:t>
      </w:r>
      <w:r w:rsidR="000928E1" w:rsidRPr="000B5DC6">
        <w:rPr>
          <w:rFonts w:cstheme="majorBidi"/>
          <w:b w:val="0"/>
          <w:color w:val="auto"/>
          <w:sz w:val="16"/>
          <w:szCs w:val="16"/>
        </w:rPr>
        <w:t>S.V</w:t>
      </w:r>
      <w:r w:rsidR="000928E1">
        <w:rPr>
          <w:rFonts w:cstheme="majorBidi"/>
          <w:b w:val="0"/>
          <w:color w:val="auto"/>
          <w:sz w:val="16"/>
          <w:szCs w:val="16"/>
        </w:rPr>
        <w:t>.</w:t>
      </w:r>
      <w:r w:rsidRPr="000B5DC6">
        <w:rPr>
          <w:rFonts w:cstheme="majorBidi"/>
          <w:b w:val="0"/>
          <w:color w:val="auto"/>
          <w:sz w:val="16"/>
          <w:szCs w:val="16"/>
        </w:rPr>
        <w:t xml:space="preserve"> </w:t>
      </w:r>
      <w:r w:rsidRPr="000B5DC6">
        <w:rPr>
          <w:b w:val="0"/>
          <w:color w:val="auto"/>
          <w:spacing w:val="-2"/>
          <w:sz w:val="16"/>
          <w:szCs w:val="16"/>
        </w:rPr>
        <w:t>Efficacy of Different Disinfectant Systems on Alginate and Addition Silicone Impression Materials of Indian and International Origin: A Comparative Evaluation.</w:t>
      </w:r>
      <w:r w:rsidRPr="000B5DC6">
        <w:rPr>
          <w:b w:val="0"/>
          <w:color w:val="auto"/>
          <w:sz w:val="16"/>
          <w:szCs w:val="16"/>
          <w:shd w:val="clear" w:color="auto" w:fill="FFFFFF"/>
        </w:rPr>
        <w:t xml:space="preserve"> </w:t>
      </w:r>
      <w:hyperlink r:id="rId18" w:history="1">
        <w:r w:rsidRPr="000B5DC6">
          <w:rPr>
            <w:rStyle w:val="Hyperlink"/>
            <w:b w:val="0"/>
            <w:color w:val="auto"/>
            <w:sz w:val="16"/>
            <w:szCs w:val="16"/>
            <w:u w:val="none"/>
          </w:rPr>
          <w:t xml:space="preserve">J Indian </w:t>
        </w:r>
        <w:proofErr w:type="spellStart"/>
        <w:r w:rsidRPr="000B5DC6">
          <w:rPr>
            <w:rStyle w:val="Hyperlink"/>
            <w:b w:val="0"/>
            <w:color w:val="auto"/>
            <w:sz w:val="16"/>
            <w:szCs w:val="16"/>
            <w:u w:val="none"/>
          </w:rPr>
          <w:t>Prosthodont</w:t>
        </w:r>
        <w:proofErr w:type="spellEnd"/>
        <w:r w:rsidRPr="000B5DC6">
          <w:rPr>
            <w:rStyle w:val="Hyperlink"/>
            <w:b w:val="0"/>
            <w:color w:val="auto"/>
            <w:sz w:val="16"/>
            <w:szCs w:val="16"/>
            <w:u w:val="none"/>
          </w:rPr>
          <w:t xml:space="preserve"> Soc.</w:t>
        </w:r>
      </w:hyperlink>
      <w:r w:rsidRPr="000B5DC6">
        <w:rPr>
          <w:b w:val="0"/>
          <w:color w:val="auto"/>
          <w:sz w:val="16"/>
          <w:szCs w:val="16"/>
          <w:shd w:val="clear" w:color="auto" w:fill="FFFFFF"/>
        </w:rPr>
        <w:t> 2010; 10(3): 182–189.</w:t>
      </w:r>
    </w:p>
    <w:p w14:paraId="750527A4" w14:textId="51618002" w:rsidR="00F8583D" w:rsidRPr="000B5DC6" w:rsidRDefault="00DB262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rStyle w:val="cit"/>
          <w:b w:val="0"/>
          <w:bCs/>
          <w:color w:val="auto"/>
          <w:sz w:val="16"/>
          <w:szCs w:val="16"/>
        </w:rPr>
      </w:pPr>
      <w:hyperlink r:id="rId19" w:history="1">
        <w:proofErr w:type="spellStart"/>
        <w:r w:rsidR="0068597C" w:rsidRPr="000B5DC6">
          <w:rPr>
            <w:rStyle w:val="Hyperlink"/>
            <w:rFonts w:cs="Segoe UI"/>
            <w:b w:val="0"/>
            <w:bCs/>
            <w:color w:val="auto"/>
            <w:sz w:val="16"/>
            <w:szCs w:val="16"/>
            <w:u w:val="none"/>
          </w:rPr>
          <w:t>Amalan</w:t>
        </w:r>
        <w:proofErr w:type="spellEnd"/>
      </w:hyperlink>
      <w:r w:rsidR="0068597C" w:rsidRPr="000B5DC6">
        <w:rPr>
          <w:rStyle w:val="author-sup-separator"/>
          <w:rFonts w:cs="Segoe UI"/>
          <w:b w:val="0"/>
          <w:bCs/>
          <w:color w:val="auto"/>
          <w:sz w:val="16"/>
          <w:szCs w:val="16"/>
          <w:shd w:val="clear" w:color="auto" w:fill="FFFFFF"/>
          <w:vertAlign w:val="superscript"/>
        </w:rPr>
        <w:t> </w:t>
      </w:r>
      <w:r w:rsidR="0068597C" w:rsidRPr="000B5DC6">
        <w:rPr>
          <w:rStyle w:val="comma"/>
          <w:rFonts w:cs="Segoe UI"/>
          <w:b w:val="0"/>
          <w:bCs/>
          <w:color w:val="auto"/>
          <w:sz w:val="16"/>
          <w:szCs w:val="16"/>
          <w:shd w:val="clear" w:color="auto" w:fill="FFFFFF"/>
        </w:rPr>
        <w:t>, </w:t>
      </w:r>
      <w:hyperlink r:id="rId20" w:history="1">
        <w:r w:rsidR="0068597C" w:rsidRPr="000B5DC6">
          <w:rPr>
            <w:rStyle w:val="Hyperlink"/>
            <w:rFonts w:cs="Segoe UI"/>
            <w:b w:val="0"/>
            <w:bCs/>
            <w:color w:val="auto"/>
            <w:sz w:val="16"/>
            <w:szCs w:val="16"/>
            <w:u w:val="none"/>
          </w:rPr>
          <w:t>K.</w:t>
        </w:r>
        <w:r w:rsidR="00D84D2E">
          <w:rPr>
            <w:rStyle w:val="Hyperlink"/>
            <w:rFonts w:cs="Segoe UI"/>
            <w:b w:val="0"/>
            <w:bCs/>
            <w:color w:val="auto"/>
            <w:sz w:val="16"/>
            <w:szCs w:val="16"/>
            <w:u w:val="none"/>
          </w:rPr>
          <w:t>,</w:t>
        </w:r>
        <w:r w:rsidR="0068597C" w:rsidRPr="000B5DC6">
          <w:rPr>
            <w:rStyle w:val="Hyperlink"/>
            <w:rFonts w:cs="Segoe UI"/>
            <w:b w:val="0"/>
            <w:bCs/>
            <w:color w:val="auto"/>
            <w:sz w:val="16"/>
            <w:szCs w:val="16"/>
            <w:u w:val="none"/>
          </w:rPr>
          <w:t xml:space="preserve"> </w:t>
        </w:r>
        <w:proofErr w:type="spellStart"/>
        <w:r w:rsidR="0068597C" w:rsidRPr="000B5DC6">
          <w:rPr>
            <w:rStyle w:val="Hyperlink"/>
            <w:rFonts w:cs="Segoe UI"/>
            <w:b w:val="0"/>
            <w:bCs/>
            <w:color w:val="auto"/>
            <w:sz w:val="16"/>
            <w:szCs w:val="16"/>
            <w:u w:val="none"/>
          </w:rPr>
          <w:t>Ginjupalli</w:t>
        </w:r>
        <w:proofErr w:type="spellEnd"/>
      </w:hyperlink>
      <w:r w:rsidR="00D84D2E">
        <w:rPr>
          <w:rStyle w:val="Hyperlink"/>
          <w:rFonts w:cs="Segoe UI"/>
          <w:b w:val="0"/>
          <w:bCs/>
          <w:color w:val="auto"/>
          <w:sz w:val="16"/>
          <w:szCs w:val="16"/>
          <w:u w:val="none"/>
        </w:rPr>
        <w:t>,</w:t>
      </w:r>
      <w:r w:rsidR="0068597C" w:rsidRPr="000B5DC6">
        <w:rPr>
          <w:rStyle w:val="comma"/>
          <w:rFonts w:cs="Segoe UI"/>
          <w:b w:val="0"/>
          <w:bCs/>
          <w:color w:val="auto"/>
          <w:sz w:val="16"/>
          <w:szCs w:val="16"/>
          <w:shd w:val="clear" w:color="auto" w:fill="FFFFFF"/>
        </w:rPr>
        <w:t xml:space="preserve"> </w:t>
      </w:r>
      <w:r w:rsidR="00D84D2E" w:rsidRPr="00D84D2E">
        <w:rPr>
          <w:rStyle w:val="comma"/>
          <w:rFonts w:cs="Segoe UI"/>
          <w:b w:val="0"/>
          <w:bCs/>
          <w:color w:val="auto"/>
          <w:sz w:val="16"/>
          <w:szCs w:val="16"/>
          <w:shd w:val="clear" w:color="auto" w:fill="FFFFFF"/>
        </w:rPr>
        <w:t>A.</w:t>
      </w:r>
      <w:r w:rsidR="00D84D2E">
        <w:rPr>
          <w:rStyle w:val="comma"/>
          <w:rFonts w:cs="Segoe UI"/>
          <w:b w:val="0"/>
          <w:bCs/>
          <w:color w:val="auto"/>
          <w:sz w:val="16"/>
          <w:szCs w:val="16"/>
          <w:shd w:val="clear" w:color="auto" w:fill="FFFFFF"/>
        </w:rPr>
        <w:t xml:space="preserve"> </w:t>
      </w:r>
      <w:hyperlink r:id="rId21" w:history="1">
        <w:proofErr w:type="spellStart"/>
        <w:r w:rsidR="0068597C" w:rsidRPr="000B5DC6">
          <w:rPr>
            <w:rStyle w:val="Hyperlink"/>
            <w:rFonts w:cs="Segoe UI"/>
            <w:b w:val="0"/>
            <w:bCs/>
            <w:color w:val="auto"/>
            <w:sz w:val="16"/>
            <w:szCs w:val="16"/>
            <w:u w:val="none"/>
          </w:rPr>
          <w:t>Upadhya</w:t>
        </w:r>
        <w:proofErr w:type="spellEnd"/>
      </w:hyperlink>
      <w:r w:rsidR="00D84D2E">
        <w:rPr>
          <w:rStyle w:val="authors-list-item"/>
          <w:rFonts w:cs="Segoe UI"/>
          <w:b w:val="0"/>
          <w:bCs/>
          <w:color w:val="auto"/>
          <w:sz w:val="16"/>
          <w:szCs w:val="16"/>
          <w:shd w:val="clear" w:color="auto" w:fill="FFFFFF"/>
        </w:rPr>
        <w:t xml:space="preserve">, </w:t>
      </w:r>
      <w:r w:rsidR="00D84D2E" w:rsidRPr="00D84D2E">
        <w:rPr>
          <w:rStyle w:val="authors-list-item"/>
          <w:rFonts w:cs="Segoe UI"/>
          <w:b w:val="0"/>
          <w:bCs/>
          <w:color w:val="auto"/>
          <w:sz w:val="16"/>
          <w:szCs w:val="16"/>
          <w:shd w:val="clear" w:color="auto" w:fill="FFFFFF"/>
        </w:rPr>
        <w:t>N.</w:t>
      </w:r>
      <w:r w:rsidR="0068597C" w:rsidRPr="000B5DC6">
        <w:rPr>
          <w:rStyle w:val="authors-list-item"/>
          <w:rFonts w:cs="Segoe UI"/>
          <w:b w:val="0"/>
          <w:bCs/>
          <w:color w:val="auto"/>
          <w:sz w:val="16"/>
          <w:szCs w:val="16"/>
          <w:shd w:val="clear" w:color="auto" w:fill="FFFFFF"/>
        </w:rPr>
        <w:t xml:space="preserve"> </w:t>
      </w:r>
      <w:r w:rsidR="0068597C" w:rsidRPr="000B5DC6">
        <w:rPr>
          <w:b w:val="0"/>
          <w:bCs/>
          <w:color w:val="auto"/>
          <w:sz w:val="16"/>
          <w:szCs w:val="16"/>
        </w:rPr>
        <w:t xml:space="preserve">Evaluation of properties of irreversible hydrocolloid impression materials mixed with disinfectant liquids. </w:t>
      </w:r>
      <w:r w:rsidR="0068597C" w:rsidRPr="000B5DC6">
        <w:rPr>
          <w:rFonts w:cs="Segoe UI"/>
          <w:b w:val="0"/>
          <w:bCs/>
          <w:color w:val="auto"/>
          <w:sz w:val="16"/>
          <w:szCs w:val="16"/>
        </w:rPr>
        <w:t xml:space="preserve">Dent Res J (Isfahan). </w:t>
      </w:r>
      <w:r w:rsidR="0068597C" w:rsidRPr="000B5DC6">
        <w:rPr>
          <w:rStyle w:val="cit"/>
          <w:rFonts w:cs="Segoe UI"/>
          <w:b w:val="0"/>
          <w:bCs/>
          <w:color w:val="auto"/>
          <w:sz w:val="16"/>
          <w:szCs w:val="16"/>
          <w:shd w:val="clear" w:color="auto" w:fill="FFFFFF"/>
        </w:rPr>
        <w:t>2013;</w:t>
      </w:r>
      <w:r w:rsidR="009000AB">
        <w:rPr>
          <w:rStyle w:val="cit"/>
          <w:rFonts w:cs="Segoe UI"/>
          <w:b w:val="0"/>
          <w:bCs/>
          <w:color w:val="auto"/>
          <w:sz w:val="16"/>
          <w:szCs w:val="16"/>
          <w:shd w:val="clear" w:color="auto" w:fill="FFFFFF"/>
        </w:rPr>
        <w:t xml:space="preserve"> </w:t>
      </w:r>
      <w:r w:rsidR="0068597C" w:rsidRPr="000B5DC6">
        <w:rPr>
          <w:rStyle w:val="cit"/>
          <w:rFonts w:cs="Segoe UI"/>
          <w:b w:val="0"/>
          <w:bCs/>
          <w:color w:val="auto"/>
          <w:sz w:val="16"/>
          <w:szCs w:val="16"/>
          <w:shd w:val="clear" w:color="auto" w:fill="FFFFFF"/>
        </w:rPr>
        <w:t>10(1):</w:t>
      </w:r>
      <w:r w:rsidR="009000AB">
        <w:rPr>
          <w:rStyle w:val="cit"/>
          <w:rFonts w:cs="Segoe UI"/>
          <w:b w:val="0"/>
          <w:bCs/>
          <w:color w:val="auto"/>
          <w:sz w:val="16"/>
          <w:szCs w:val="16"/>
          <w:shd w:val="clear" w:color="auto" w:fill="FFFFFF"/>
        </w:rPr>
        <w:t xml:space="preserve"> </w:t>
      </w:r>
      <w:r w:rsidR="0068597C" w:rsidRPr="000B5DC6">
        <w:rPr>
          <w:rStyle w:val="cit"/>
          <w:rFonts w:cs="Segoe UI"/>
          <w:b w:val="0"/>
          <w:bCs/>
          <w:color w:val="auto"/>
          <w:sz w:val="16"/>
          <w:szCs w:val="16"/>
          <w:shd w:val="clear" w:color="auto" w:fill="FFFFFF"/>
        </w:rPr>
        <w:t>65-73.</w:t>
      </w:r>
    </w:p>
    <w:p w14:paraId="3612A6FD" w14:textId="447ED942" w:rsidR="00F8583D" w:rsidRPr="000B5DC6" w:rsidRDefault="006255F6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rStyle w:val="cit"/>
          <w:b w:val="0"/>
          <w:color w:val="auto"/>
          <w:sz w:val="16"/>
          <w:szCs w:val="16"/>
        </w:rPr>
      </w:pPr>
      <w:proofErr w:type="spellStart"/>
      <w:r w:rsidRPr="000B5DC6">
        <w:rPr>
          <w:b w:val="0"/>
          <w:color w:val="auto"/>
          <w:sz w:val="16"/>
          <w:szCs w:val="16"/>
        </w:rPr>
        <w:t>J</w:t>
      </w:r>
      <w:r w:rsidRPr="000B5DC6">
        <w:rPr>
          <w:rFonts w:cstheme="majorBidi"/>
          <w:b w:val="0"/>
          <w:color w:val="auto"/>
          <w:sz w:val="16"/>
          <w:szCs w:val="16"/>
        </w:rPr>
        <w:t>enning</w:t>
      </w:r>
      <w:proofErr w:type="spellEnd"/>
      <w:r w:rsidR="00D84D2E">
        <w:rPr>
          <w:rFonts w:cstheme="majorBidi"/>
          <w:b w:val="0"/>
          <w:color w:val="auto"/>
          <w:sz w:val="16"/>
          <w:szCs w:val="16"/>
        </w:rPr>
        <w:t xml:space="preserve">, </w:t>
      </w:r>
      <w:r w:rsidR="00D84D2E" w:rsidRPr="000B5DC6">
        <w:rPr>
          <w:b w:val="0"/>
          <w:color w:val="auto"/>
          <w:sz w:val="16"/>
          <w:szCs w:val="16"/>
        </w:rPr>
        <w:t>K.J.</w:t>
      </w:r>
      <w:r w:rsidRPr="000B5DC6">
        <w:rPr>
          <w:rFonts w:cstheme="majorBidi"/>
          <w:b w:val="0"/>
          <w:color w:val="auto"/>
          <w:sz w:val="16"/>
          <w:szCs w:val="16"/>
        </w:rPr>
        <w:t xml:space="preserve"> Samaranayake</w:t>
      </w:r>
      <w:r w:rsidR="00D84D2E">
        <w:rPr>
          <w:rFonts w:cstheme="majorBidi"/>
          <w:b w:val="0"/>
          <w:color w:val="auto"/>
          <w:sz w:val="16"/>
          <w:szCs w:val="16"/>
        </w:rPr>
        <w:t>,</w:t>
      </w:r>
      <w:r w:rsidR="00D84D2E" w:rsidRPr="00D84D2E">
        <w:rPr>
          <w:rFonts w:cstheme="majorBidi"/>
          <w:b w:val="0"/>
          <w:color w:val="auto"/>
          <w:sz w:val="16"/>
          <w:szCs w:val="16"/>
        </w:rPr>
        <w:t xml:space="preserve"> </w:t>
      </w:r>
      <w:r w:rsidR="00D84D2E" w:rsidRPr="000B5DC6">
        <w:rPr>
          <w:rFonts w:cstheme="majorBidi"/>
          <w:b w:val="0"/>
          <w:color w:val="auto"/>
          <w:sz w:val="16"/>
          <w:szCs w:val="16"/>
        </w:rPr>
        <w:t>L.P.</w:t>
      </w:r>
      <w:r w:rsidRPr="000B5DC6">
        <w:rPr>
          <w:rFonts w:cstheme="majorBidi"/>
          <w:b w:val="0"/>
          <w:color w:val="auto"/>
          <w:sz w:val="16"/>
          <w:szCs w:val="16"/>
        </w:rPr>
        <w:t xml:space="preserve"> </w:t>
      </w:r>
      <w:r w:rsidRPr="000B5DC6">
        <w:rPr>
          <w:b w:val="0"/>
          <w:color w:val="auto"/>
          <w:sz w:val="16"/>
          <w:szCs w:val="16"/>
        </w:rPr>
        <w:t>The persistence of microorganisms on impression materials following disinfection.</w:t>
      </w:r>
      <w:r w:rsidRPr="000B5DC6">
        <w:rPr>
          <w:rFonts w:cs="Segoe UI"/>
          <w:b w:val="0"/>
          <w:color w:val="auto"/>
          <w:sz w:val="16"/>
          <w:szCs w:val="16"/>
        </w:rPr>
        <w:t xml:space="preserve"> Int J </w:t>
      </w:r>
      <w:proofErr w:type="spellStart"/>
      <w:r w:rsidRPr="000B5DC6">
        <w:rPr>
          <w:rFonts w:cs="Segoe UI"/>
          <w:b w:val="0"/>
          <w:color w:val="auto"/>
          <w:sz w:val="16"/>
          <w:szCs w:val="16"/>
        </w:rPr>
        <w:t>Prosthodont</w:t>
      </w:r>
      <w:proofErr w:type="spellEnd"/>
      <w:r w:rsidRPr="000B5DC6">
        <w:rPr>
          <w:rFonts w:cs="Segoe UI"/>
          <w:b w:val="0"/>
          <w:color w:val="auto"/>
          <w:sz w:val="16"/>
          <w:szCs w:val="16"/>
        </w:rPr>
        <w:t xml:space="preserve">. </w:t>
      </w:r>
      <w:r w:rsidRPr="000B5DC6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>1991;</w:t>
      </w:r>
      <w:r w:rsidR="009000AB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 xml:space="preserve"> </w:t>
      </w:r>
      <w:r w:rsidRPr="000B5DC6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>4(4):</w:t>
      </w:r>
      <w:r w:rsidR="009000AB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 xml:space="preserve">  </w:t>
      </w:r>
      <w:r w:rsidRPr="000B5DC6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>382-7.</w:t>
      </w:r>
    </w:p>
    <w:p w14:paraId="51CF83B0" w14:textId="2151C949" w:rsidR="004A7842" w:rsidRPr="000B5DC6" w:rsidRDefault="00F8583D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rStyle w:val="cit"/>
          <w:b w:val="0"/>
          <w:color w:val="auto"/>
          <w:sz w:val="16"/>
          <w:szCs w:val="16"/>
        </w:rPr>
      </w:pPr>
      <w:r w:rsidRPr="000B5DC6">
        <w:rPr>
          <w:rFonts w:cstheme="majorBidi"/>
          <w:b w:val="0"/>
          <w:color w:val="auto"/>
          <w:sz w:val="16"/>
          <w:szCs w:val="16"/>
        </w:rPr>
        <w:t>Wang,</w:t>
      </w:r>
      <w:r w:rsidR="00D84D2E" w:rsidRPr="00D84D2E">
        <w:rPr>
          <w:rFonts w:cstheme="majorBidi"/>
          <w:b w:val="0"/>
          <w:color w:val="auto"/>
          <w:sz w:val="16"/>
          <w:szCs w:val="16"/>
        </w:rPr>
        <w:t xml:space="preserve"> </w:t>
      </w:r>
      <w:r w:rsidR="00D84D2E" w:rsidRPr="000B5DC6">
        <w:rPr>
          <w:rFonts w:cstheme="majorBidi"/>
          <w:b w:val="0"/>
          <w:color w:val="auto"/>
          <w:sz w:val="16"/>
          <w:szCs w:val="16"/>
        </w:rPr>
        <w:t>J.</w:t>
      </w:r>
      <w:r w:rsidR="00D84D2E">
        <w:rPr>
          <w:rFonts w:cstheme="majorBidi"/>
          <w:b w:val="0"/>
          <w:color w:val="auto"/>
          <w:sz w:val="16"/>
          <w:szCs w:val="16"/>
        </w:rPr>
        <w:t>,</w:t>
      </w:r>
      <w:r w:rsidRPr="000B5DC6">
        <w:rPr>
          <w:rFonts w:cstheme="majorBidi"/>
          <w:b w:val="0"/>
          <w:color w:val="auto"/>
          <w:sz w:val="16"/>
          <w:szCs w:val="16"/>
        </w:rPr>
        <w:t xml:space="preserve"> Wan, </w:t>
      </w:r>
      <w:r w:rsidR="00D84D2E" w:rsidRPr="000B5DC6">
        <w:rPr>
          <w:rFonts w:cstheme="majorBidi"/>
          <w:b w:val="0"/>
          <w:color w:val="auto"/>
          <w:sz w:val="16"/>
          <w:szCs w:val="16"/>
        </w:rPr>
        <w:t>Q.</w:t>
      </w:r>
      <w:r w:rsidR="00D84D2E">
        <w:rPr>
          <w:rFonts w:cstheme="majorBidi"/>
          <w:b w:val="0"/>
          <w:color w:val="auto"/>
          <w:sz w:val="16"/>
          <w:szCs w:val="16"/>
        </w:rPr>
        <w:t xml:space="preserve">, </w:t>
      </w:r>
      <w:r w:rsidRPr="000B5DC6">
        <w:rPr>
          <w:rFonts w:cstheme="majorBidi"/>
          <w:b w:val="0"/>
          <w:color w:val="auto"/>
          <w:sz w:val="16"/>
          <w:szCs w:val="16"/>
        </w:rPr>
        <w:t>Chao</w:t>
      </w:r>
      <w:r w:rsidR="00D84D2E">
        <w:rPr>
          <w:rFonts w:cstheme="majorBidi"/>
          <w:b w:val="0"/>
          <w:color w:val="auto"/>
          <w:sz w:val="16"/>
          <w:szCs w:val="16"/>
        </w:rPr>
        <w:t xml:space="preserve">, </w:t>
      </w:r>
      <w:r w:rsidR="00D84D2E" w:rsidRPr="000B5DC6">
        <w:rPr>
          <w:rFonts w:cstheme="majorBidi"/>
          <w:b w:val="0"/>
          <w:color w:val="auto"/>
          <w:sz w:val="16"/>
          <w:szCs w:val="16"/>
        </w:rPr>
        <w:t>Y.</w:t>
      </w:r>
      <w:r w:rsidR="00D84D2E">
        <w:rPr>
          <w:rFonts w:cstheme="majorBidi"/>
          <w:b w:val="0"/>
          <w:color w:val="auto"/>
          <w:sz w:val="16"/>
          <w:szCs w:val="16"/>
        </w:rPr>
        <w:t>, et al</w:t>
      </w:r>
      <w:r w:rsidRPr="000B5DC6">
        <w:rPr>
          <w:rFonts w:cstheme="majorBidi"/>
          <w:b w:val="0"/>
          <w:color w:val="auto"/>
          <w:sz w:val="16"/>
          <w:szCs w:val="16"/>
        </w:rPr>
        <w:t>.</w:t>
      </w:r>
      <w:r w:rsidRPr="000B5DC6">
        <w:rPr>
          <w:b w:val="0"/>
          <w:color w:val="auto"/>
          <w:sz w:val="16"/>
          <w:szCs w:val="16"/>
        </w:rPr>
        <w:t xml:space="preserve"> A self-disinfecting irreversible hydrocolloid impression material mixed with chlorhexidine solution.</w:t>
      </w:r>
      <w:r w:rsidRPr="000B5DC6">
        <w:rPr>
          <w:rFonts w:cs="Segoe UI"/>
          <w:b w:val="0"/>
          <w:color w:val="auto"/>
          <w:sz w:val="16"/>
          <w:szCs w:val="16"/>
        </w:rPr>
        <w:t xml:space="preserve"> Angle </w:t>
      </w:r>
      <w:proofErr w:type="spellStart"/>
      <w:r w:rsidRPr="000B5DC6">
        <w:rPr>
          <w:rFonts w:cs="Segoe UI"/>
          <w:b w:val="0"/>
          <w:color w:val="auto"/>
          <w:sz w:val="16"/>
          <w:szCs w:val="16"/>
        </w:rPr>
        <w:t>Orthod</w:t>
      </w:r>
      <w:proofErr w:type="spellEnd"/>
      <w:r w:rsidRPr="000B5DC6">
        <w:rPr>
          <w:rFonts w:cs="Segoe UI"/>
          <w:b w:val="0"/>
          <w:color w:val="auto"/>
          <w:sz w:val="16"/>
          <w:szCs w:val="16"/>
        </w:rPr>
        <w:t>.</w:t>
      </w:r>
      <w:r w:rsidR="009000AB">
        <w:rPr>
          <w:rFonts w:cs="Segoe UI"/>
          <w:b w:val="0"/>
          <w:color w:val="auto"/>
          <w:sz w:val="16"/>
          <w:szCs w:val="16"/>
        </w:rPr>
        <w:t xml:space="preserve"> </w:t>
      </w:r>
      <w:r w:rsidR="009000AB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>2007</w:t>
      </w:r>
      <w:r w:rsidRPr="000B5DC6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>;</w:t>
      </w:r>
      <w:r w:rsidR="009000AB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 xml:space="preserve"> </w:t>
      </w:r>
      <w:r w:rsidRPr="000B5DC6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>77(5):</w:t>
      </w:r>
      <w:r w:rsidR="009000AB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 xml:space="preserve"> </w:t>
      </w:r>
      <w:r w:rsidRPr="000B5DC6">
        <w:rPr>
          <w:rStyle w:val="cit"/>
          <w:rFonts w:cs="Segoe UI"/>
          <w:b w:val="0"/>
          <w:color w:val="auto"/>
          <w:sz w:val="16"/>
          <w:szCs w:val="16"/>
          <w:shd w:val="clear" w:color="auto" w:fill="FFFFFF"/>
        </w:rPr>
        <w:t>894-900.</w:t>
      </w:r>
    </w:p>
    <w:p w14:paraId="0C7C9EC9" w14:textId="1205FC0C" w:rsidR="00A00ADB" w:rsidRPr="000B5DC6" w:rsidRDefault="00F8583D" w:rsidP="00E239D5">
      <w:pPr>
        <w:pStyle w:val="MDPI21heading1"/>
        <w:numPr>
          <w:ilvl w:val="0"/>
          <w:numId w:val="41"/>
        </w:numPr>
        <w:tabs>
          <w:tab w:val="left" w:pos="990"/>
        </w:tabs>
        <w:spacing w:line="240" w:lineRule="auto"/>
        <w:ind w:left="720" w:right="476" w:firstLine="0"/>
        <w:rPr>
          <w:b w:val="0"/>
          <w:color w:val="auto"/>
          <w:sz w:val="16"/>
          <w:szCs w:val="16"/>
        </w:rPr>
      </w:pPr>
      <w:r w:rsidRPr="000B5DC6">
        <w:rPr>
          <w:rFonts w:cstheme="majorBidi"/>
          <w:b w:val="0"/>
          <w:color w:val="auto"/>
          <w:sz w:val="16"/>
          <w:szCs w:val="16"/>
        </w:rPr>
        <w:t>Mitra</w:t>
      </w:r>
      <w:r w:rsidR="00631303">
        <w:rPr>
          <w:rFonts w:cstheme="majorBidi"/>
          <w:b w:val="0"/>
          <w:color w:val="auto"/>
          <w:sz w:val="16"/>
          <w:szCs w:val="16"/>
        </w:rPr>
        <w:t xml:space="preserve">, </w:t>
      </w:r>
      <w:r w:rsidR="00631303" w:rsidRPr="000B5DC6">
        <w:rPr>
          <w:b w:val="0"/>
          <w:color w:val="auto"/>
          <w:sz w:val="16"/>
          <w:szCs w:val="16"/>
        </w:rPr>
        <w:t>S.B.</w:t>
      </w:r>
      <w:r w:rsidRPr="000B5DC6">
        <w:rPr>
          <w:b w:val="0"/>
          <w:color w:val="auto"/>
          <w:sz w:val="16"/>
          <w:szCs w:val="16"/>
        </w:rPr>
        <w:t xml:space="preserve"> </w:t>
      </w:r>
      <w:r w:rsidRPr="000B5DC6">
        <w:rPr>
          <w:rFonts w:cstheme="majorBidi"/>
          <w:b w:val="0"/>
          <w:color w:val="auto"/>
          <w:sz w:val="16"/>
          <w:szCs w:val="16"/>
        </w:rPr>
        <w:t>Nanoparticles for dental materials: synthesis, analysis, and applications. In: Emerging nanotechnologies in dentistry. Elsevier; 2012. p. 15–33.</w:t>
      </w:r>
      <w:bookmarkStart w:id="4" w:name="bau0005"/>
    </w:p>
    <w:p w14:paraId="58769A6B" w14:textId="5E870C3D" w:rsidR="00A00ADB" w:rsidRPr="000B5DC6" w:rsidRDefault="00DB262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hyperlink r:id="rId22" w:anchor="!" w:history="1">
        <w:r w:rsidR="00F8583D" w:rsidRPr="000B5DC6">
          <w:rPr>
            <w:rStyle w:val="text"/>
            <w:rFonts w:cs="Arial"/>
            <w:b w:val="0"/>
            <w:bCs/>
            <w:color w:val="auto"/>
            <w:sz w:val="16"/>
            <w:szCs w:val="16"/>
          </w:rPr>
          <w:t>Figueroa</w:t>
        </w:r>
        <w:r w:rsidR="00F8583D" w:rsidRPr="000B5DC6">
          <w:rPr>
            <w:rStyle w:val="author-ref"/>
            <w:rFonts w:cs="Arial"/>
            <w:b w:val="0"/>
            <w:bCs/>
            <w:color w:val="auto"/>
            <w:sz w:val="16"/>
            <w:szCs w:val="16"/>
            <w:vertAlign w:val="superscript"/>
          </w:rPr>
          <w:t>,</w:t>
        </w:r>
      </w:hyperlink>
      <w:bookmarkStart w:id="5" w:name="bau0010"/>
      <w:bookmarkEnd w:id="4"/>
      <w:r w:rsidR="00631303">
        <w:rPr>
          <w:b w:val="0"/>
          <w:bCs/>
          <w:color w:val="auto"/>
          <w:sz w:val="16"/>
          <w:szCs w:val="16"/>
        </w:rPr>
        <w:t xml:space="preserve">, </w:t>
      </w:r>
      <w:r w:rsidR="00631303" w:rsidRPr="00631303">
        <w:rPr>
          <w:b w:val="0"/>
          <w:bCs/>
          <w:color w:val="auto"/>
          <w:sz w:val="16"/>
          <w:szCs w:val="16"/>
        </w:rPr>
        <w:t>L. A.</w:t>
      </w:r>
      <w:r w:rsidR="00631303">
        <w:rPr>
          <w:b w:val="0"/>
          <w:bCs/>
          <w:color w:val="auto"/>
          <w:sz w:val="16"/>
          <w:szCs w:val="16"/>
        </w:rPr>
        <w:t xml:space="preserve">, </w:t>
      </w:r>
      <w:hyperlink r:id="rId23" w:anchor="!" w:history="1">
        <w:r w:rsidR="00F8583D" w:rsidRPr="000B5DC6">
          <w:rPr>
            <w:rStyle w:val="text"/>
            <w:rFonts w:cs="Arial"/>
            <w:b w:val="0"/>
            <w:bCs/>
            <w:color w:val="auto"/>
            <w:sz w:val="16"/>
            <w:szCs w:val="16"/>
          </w:rPr>
          <w:t>Morales-</w:t>
        </w:r>
        <w:proofErr w:type="spellStart"/>
        <w:r w:rsidR="00F8583D" w:rsidRPr="000B5DC6">
          <w:rPr>
            <w:rStyle w:val="text"/>
            <w:rFonts w:cs="Arial"/>
            <w:b w:val="0"/>
            <w:bCs/>
            <w:color w:val="auto"/>
            <w:sz w:val="16"/>
            <w:szCs w:val="16"/>
          </w:rPr>
          <w:t>Luckie</w:t>
        </w:r>
        <w:proofErr w:type="spellEnd"/>
        <w:r w:rsidR="00A00ADB" w:rsidRPr="000B5DC6">
          <w:rPr>
            <w:rStyle w:val="author-ref"/>
            <w:rFonts w:cs="Arial"/>
            <w:b w:val="0"/>
            <w:bCs/>
            <w:color w:val="auto"/>
            <w:sz w:val="16"/>
            <w:szCs w:val="16"/>
            <w:vertAlign w:val="superscript"/>
          </w:rPr>
          <w:t>.</w:t>
        </w:r>
      </w:hyperlink>
      <w:bookmarkStart w:id="6" w:name="bau0015"/>
      <w:bookmarkEnd w:id="5"/>
      <w:r w:rsidR="00631303">
        <w:rPr>
          <w:b w:val="0"/>
          <w:bCs/>
          <w:color w:val="auto"/>
          <w:sz w:val="16"/>
          <w:szCs w:val="16"/>
        </w:rPr>
        <w:t xml:space="preserve">, </w:t>
      </w:r>
      <w:r w:rsidR="00631303" w:rsidRPr="00631303">
        <w:rPr>
          <w:b w:val="0"/>
          <w:bCs/>
          <w:color w:val="auto"/>
          <w:sz w:val="16"/>
          <w:szCs w:val="16"/>
        </w:rPr>
        <w:t>R. A.</w:t>
      </w:r>
      <w:r w:rsidR="00631303">
        <w:rPr>
          <w:b w:val="0"/>
          <w:bCs/>
          <w:color w:val="auto"/>
          <w:sz w:val="16"/>
          <w:szCs w:val="16"/>
        </w:rPr>
        <w:t xml:space="preserve">, </w:t>
      </w:r>
      <w:hyperlink r:id="rId24" w:anchor="!" w:history="1">
        <w:proofErr w:type="spellStart"/>
        <w:r w:rsidR="00F8583D" w:rsidRPr="000B5DC6">
          <w:rPr>
            <w:rStyle w:val="text"/>
            <w:rFonts w:cs="Arial"/>
            <w:b w:val="0"/>
            <w:bCs/>
            <w:color w:val="auto"/>
            <w:sz w:val="16"/>
            <w:szCs w:val="16"/>
          </w:rPr>
          <w:t>Scougall</w:t>
        </w:r>
        <w:r w:rsidR="005956FC" w:rsidRPr="000B5DC6">
          <w:rPr>
            <w:rStyle w:val="text"/>
            <w:rFonts w:cs="Arial"/>
            <w:b w:val="0"/>
            <w:bCs/>
            <w:color w:val="auto"/>
            <w:sz w:val="16"/>
            <w:szCs w:val="16"/>
          </w:rPr>
          <w:t>-</w:t>
        </w:r>
        <w:r w:rsidR="00F8583D" w:rsidRPr="000B5DC6">
          <w:rPr>
            <w:rStyle w:val="text"/>
            <w:rFonts w:cs="Arial"/>
            <w:b w:val="0"/>
            <w:bCs/>
            <w:color w:val="auto"/>
            <w:sz w:val="16"/>
            <w:szCs w:val="16"/>
          </w:rPr>
          <w:t>Vilchis</w:t>
        </w:r>
        <w:proofErr w:type="spellEnd"/>
      </w:hyperlink>
      <w:bookmarkStart w:id="7" w:name="bau0020"/>
      <w:bookmarkEnd w:id="6"/>
      <w:r w:rsidR="00631303">
        <w:rPr>
          <w:rStyle w:val="text"/>
          <w:rFonts w:cs="Arial"/>
          <w:b w:val="0"/>
          <w:bCs/>
          <w:color w:val="auto"/>
          <w:sz w:val="16"/>
          <w:szCs w:val="16"/>
        </w:rPr>
        <w:t xml:space="preserve">, </w:t>
      </w:r>
      <w:r w:rsidR="00631303" w:rsidRPr="00631303">
        <w:rPr>
          <w:rStyle w:val="text"/>
          <w:rFonts w:cs="Arial"/>
          <w:b w:val="0"/>
          <w:bCs/>
          <w:color w:val="auto"/>
          <w:sz w:val="16"/>
          <w:szCs w:val="16"/>
        </w:rPr>
        <w:t>R</w:t>
      </w:r>
      <w:r w:rsidR="00E239D5">
        <w:rPr>
          <w:rStyle w:val="text"/>
          <w:rFonts w:cs="Arial"/>
          <w:b w:val="0"/>
          <w:bCs/>
          <w:color w:val="auto"/>
          <w:sz w:val="16"/>
          <w:szCs w:val="16"/>
        </w:rPr>
        <w:t>.</w:t>
      </w:r>
      <w:r w:rsidR="00631303" w:rsidRPr="00631303">
        <w:rPr>
          <w:rStyle w:val="text"/>
          <w:rFonts w:cs="Arial"/>
          <w:b w:val="0"/>
          <w:bCs/>
          <w:color w:val="auto"/>
          <w:sz w:val="16"/>
          <w:szCs w:val="16"/>
        </w:rPr>
        <w:t>J.</w:t>
      </w:r>
      <w:bookmarkEnd w:id="7"/>
      <w:r w:rsidR="00631303">
        <w:rPr>
          <w:b w:val="0"/>
          <w:bCs/>
          <w:color w:val="auto"/>
          <w:sz w:val="16"/>
          <w:szCs w:val="16"/>
        </w:rPr>
        <w:t xml:space="preserve">, et al. </w:t>
      </w:r>
      <w:r w:rsidR="00A00ADB" w:rsidRPr="000B5DC6">
        <w:rPr>
          <w:b w:val="0"/>
          <w:bCs/>
          <w:color w:val="auto"/>
          <w:sz w:val="16"/>
          <w:szCs w:val="16"/>
        </w:rPr>
        <w:t xml:space="preserve"> S</w:t>
      </w:r>
      <w:r w:rsidR="00A00ADB" w:rsidRPr="000B5DC6">
        <w:rPr>
          <w:rStyle w:val="title-text"/>
          <w:b w:val="0"/>
          <w:bCs/>
          <w:color w:val="auto"/>
          <w:sz w:val="16"/>
          <w:szCs w:val="16"/>
        </w:rPr>
        <w:t>ynthesis, characterization and antibacterial activity of copper, nickel and bimetallic Cu–Ni nanoparticles for potential use in dental materials.</w:t>
      </w:r>
      <w:r w:rsidR="00A00ADB" w:rsidRPr="000B5DC6">
        <w:rPr>
          <w:rFonts w:cs="Arial"/>
          <w:b w:val="0"/>
          <w:bCs/>
          <w:color w:val="auto"/>
          <w:sz w:val="16"/>
          <w:szCs w:val="16"/>
        </w:rPr>
        <w:t xml:space="preserve"> </w:t>
      </w:r>
      <w:hyperlink r:id="rId25" w:tooltip="Go to Progress in Natural Science: Materials International on ScienceDirect" w:history="1">
        <w:r w:rsidR="00A00ADB" w:rsidRPr="000B5DC6">
          <w:rPr>
            <w:rStyle w:val="Hyperlink"/>
            <w:rFonts w:cs="Arial"/>
            <w:b w:val="0"/>
            <w:bCs/>
            <w:color w:val="auto"/>
            <w:sz w:val="16"/>
            <w:szCs w:val="16"/>
            <w:u w:val="none"/>
          </w:rPr>
          <w:t>Progress in Natural Science: Materials International</w:t>
        </w:r>
      </w:hyperlink>
      <w:r w:rsidR="00A00ADB" w:rsidRPr="000B5DC6">
        <w:rPr>
          <w:rFonts w:cs="Arial"/>
          <w:b w:val="0"/>
          <w:bCs/>
          <w:color w:val="auto"/>
          <w:sz w:val="16"/>
          <w:szCs w:val="16"/>
        </w:rPr>
        <w:t>.</w:t>
      </w:r>
      <w:r w:rsidR="00CD2368" w:rsidRPr="000B5DC6">
        <w:rPr>
          <w:rFonts w:cs="Arial"/>
          <w:b w:val="0"/>
          <w:bCs/>
          <w:color w:val="auto"/>
          <w:sz w:val="16"/>
          <w:szCs w:val="16"/>
        </w:rPr>
        <w:t xml:space="preserve">20114; </w:t>
      </w:r>
      <w:hyperlink r:id="rId26" w:tooltip="Go to table of contents for this volume/issue" w:history="1">
        <w:r w:rsidR="00A00ADB" w:rsidRPr="000B5DC6">
          <w:rPr>
            <w:rStyle w:val="Hyperlink"/>
            <w:rFonts w:cs="Arial"/>
            <w:b w:val="0"/>
            <w:bCs/>
            <w:color w:val="auto"/>
            <w:sz w:val="16"/>
            <w:szCs w:val="16"/>
            <w:u w:val="none"/>
          </w:rPr>
          <w:t>24</w:t>
        </w:r>
        <w:r w:rsidR="00CD2368" w:rsidRPr="000B5DC6">
          <w:rPr>
            <w:rStyle w:val="Hyperlink"/>
            <w:rFonts w:cs="Arial"/>
            <w:b w:val="0"/>
            <w:bCs/>
            <w:color w:val="auto"/>
            <w:sz w:val="16"/>
            <w:szCs w:val="16"/>
            <w:u w:val="none"/>
          </w:rPr>
          <w:t>(</w:t>
        </w:r>
        <w:r w:rsidR="00A00ADB" w:rsidRPr="000B5DC6">
          <w:rPr>
            <w:rStyle w:val="Hyperlink"/>
            <w:rFonts w:cs="Arial"/>
            <w:b w:val="0"/>
            <w:bCs/>
            <w:color w:val="auto"/>
            <w:sz w:val="16"/>
            <w:szCs w:val="16"/>
            <w:u w:val="none"/>
          </w:rPr>
          <w:t>4</w:t>
        </w:r>
      </w:hyperlink>
      <w:r w:rsidR="00CD2368" w:rsidRPr="000B5DC6">
        <w:rPr>
          <w:b w:val="0"/>
          <w:bCs/>
          <w:color w:val="auto"/>
          <w:sz w:val="16"/>
          <w:szCs w:val="16"/>
        </w:rPr>
        <w:t>)</w:t>
      </w:r>
      <w:r w:rsidR="00CD2368" w:rsidRPr="000B5DC6">
        <w:rPr>
          <w:rFonts w:cs="Arial"/>
          <w:b w:val="0"/>
          <w:bCs/>
          <w:color w:val="auto"/>
          <w:sz w:val="16"/>
          <w:szCs w:val="16"/>
        </w:rPr>
        <w:t xml:space="preserve">: </w:t>
      </w:r>
      <w:r w:rsidR="00A00ADB" w:rsidRPr="000B5DC6">
        <w:rPr>
          <w:rFonts w:cs="Arial"/>
          <w:b w:val="0"/>
          <w:bCs/>
          <w:color w:val="auto"/>
          <w:sz w:val="16"/>
          <w:szCs w:val="16"/>
        </w:rPr>
        <w:t>321-328.</w:t>
      </w:r>
    </w:p>
    <w:p w14:paraId="103E4111" w14:textId="64CB18E6" w:rsidR="00F8583D" w:rsidRPr="000B5DC6" w:rsidRDefault="00E239D5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E239D5">
        <w:rPr>
          <w:rFonts w:cstheme="majorBidi"/>
          <w:b w:val="0"/>
          <w:bCs/>
          <w:color w:val="auto"/>
          <w:sz w:val="16"/>
          <w:szCs w:val="16"/>
        </w:rPr>
        <w:t>Khan I, Saeed K, Khan I.</w:t>
      </w:r>
      <w:r w:rsidR="00FB3D3D" w:rsidRPr="000B5DC6">
        <w:rPr>
          <w:rFonts w:cstheme="majorBidi"/>
          <w:b w:val="0"/>
          <w:bCs/>
          <w:color w:val="auto"/>
          <w:sz w:val="16"/>
          <w:szCs w:val="16"/>
        </w:rPr>
        <w:t xml:space="preserve">. Nanoparticles: Properties, applications and toxicities. </w:t>
      </w:r>
      <w:r w:rsidR="00594EC5" w:rsidRPr="00594EC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Arab J Chem</w:t>
      </w:r>
      <w:r w:rsidR="00FB3D3D" w:rsidRPr="000B5DC6">
        <w:rPr>
          <w:rFonts w:cstheme="majorBidi"/>
          <w:b w:val="0"/>
          <w:bCs/>
          <w:color w:val="auto"/>
          <w:sz w:val="16"/>
          <w:szCs w:val="16"/>
        </w:rPr>
        <w:t>. 2019;</w:t>
      </w:r>
      <w:r w:rsidR="009000AB">
        <w:rPr>
          <w:rFonts w:cstheme="majorBidi"/>
          <w:b w:val="0"/>
          <w:bCs/>
          <w:color w:val="auto"/>
          <w:sz w:val="16"/>
          <w:szCs w:val="16"/>
          <w:shd w:val="clear" w:color="auto" w:fill="FFFFFF"/>
        </w:rPr>
        <w:t xml:space="preserve"> 12(7): </w:t>
      </w:r>
      <w:r w:rsidR="00FB3D3D" w:rsidRPr="000B5DC6">
        <w:rPr>
          <w:rFonts w:cstheme="majorBidi"/>
          <w:b w:val="0"/>
          <w:bCs/>
          <w:color w:val="auto"/>
          <w:sz w:val="16"/>
          <w:szCs w:val="16"/>
          <w:shd w:val="clear" w:color="auto" w:fill="FFFFFF"/>
        </w:rPr>
        <w:t>908-931.</w:t>
      </w:r>
    </w:p>
    <w:p w14:paraId="188CEFDF" w14:textId="0F725620" w:rsidR="00FB3D3D" w:rsidRPr="000B5DC6" w:rsidRDefault="00FB3D3D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i/>
          <w:iCs/>
          <w:color w:val="auto"/>
          <w:sz w:val="16"/>
          <w:szCs w:val="16"/>
        </w:rPr>
      </w:pPr>
      <w:r w:rsidRPr="000B5DC6">
        <w:rPr>
          <w:b w:val="0"/>
          <w:bCs/>
          <w:color w:val="auto"/>
          <w:sz w:val="16"/>
          <w:szCs w:val="16"/>
        </w:rPr>
        <w:t>Jefferson</w:t>
      </w:r>
      <w:r w:rsidR="00761221">
        <w:rPr>
          <w:b w:val="0"/>
          <w:bCs/>
          <w:color w:val="auto"/>
          <w:sz w:val="16"/>
          <w:szCs w:val="16"/>
        </w:rPr>
        <w:t xml:space="preserve">, </w:t>
      </w:r>
      <w:r w:rsidR="00761221" w:rsidRPr="000B5DC6">
        <w:rPr>
          <w:b w:val="0"/>
          <w:bCs/>
          <w:color w:val="auto"/>
          <w:sz w:val="16"/>
          <w:szCs w:val="16"/>
        </w:rPr>
        <w:t>K.K.</w:t>
      </w:r>
      <w:r w:rsidRPr="000B5DC6">
        <w:rPr>
          <w:b w:val="0"/>
          <w:bCs/>
          <w:color w:val="auto"/>
          <w:sz w:val="16"/>
          <w:szCs w:val="16"/>
        </w:rPr>
        <w:t xml:space="preserve"> </w:t>
      </w:r>
      <w:r w:rsidRPr="000B5DC6">
        <w:rPr>
          <w:b w:val="0"/>
          <w:bCs/>
          <w:color w:val="auto"/>
          <w:sz w:val="16"/>
          <w:szCs w:val="16"/>
          <w:shd w:val="clear" w:color="auto" w:fill="FFFFFF"/>
        </w:rPr>
        <w:t>What drives bacteria to produce a biofilm?.</w:t>
      </w:r>
      <w:r w:rsidRPr="000B5DC6">
        <w:rPr>
          <w:b w:val="0"/>
          <w:bCs/>
          <w:i/>
          <w:iCs/>
          <w:color w:val="auto"/>
          <w:sz w:val="16"/>
          <w:szCs w:val="16"/>
          <w:shd w:val="clear" w:color="auto" w:fill="FFFFFF"/>
        </w:rPr>
        <w:t xml:space="preserve"> </w:t>
      </w:r>
      <w:r w:rsidRPr="000B5DC6">
        <w:rPr>
          <w:rStyle w:val="Emphasis"/>
          <w:b w:val="0"/>
          <w:bCs/>
          <w:i w:val="0"/>
          <w:iCs w:val="0"/>
          <w:color w:val="auto"/>
          <w:sz w:val="16"/>
          <w:szCs w:val="16"/>
          <w:bdr w:val="none" w:sz="0" w:space="0" w:color="auto" w:frame="1"/>
          <w:shd w:val="clear" w:color="auto" w:fill="FFFFFF"/>
        </w:rPr>
        <w:t>FEMS Microbiology Letters</w:t>
      </w:r>
      <w:r w:rsidRPr="000B5DC6">
        <w:rPr>
          <w:b w:val="0"/>
          <w:bCs/>
          <w:i/>
          <w:iCs/>
          <w:color w:val="auto"/>
          <w:sz w:val="16"/>
          <w:szCs w:val="16"/>
          <w:shd w:val="clear" w:color="auto" w:fill="FFFFFF"/>
        </w:rPr>
        <w:t>.</w:t>
      </w:r>
      <w:r w:rsidRPr="000B5DC6">
        <w:rPr>
          <w:b w:val="0"/>
          <w:bCs/>
          <w:color w:val="auto"/>
          <w:sz w:val="16"/>
          <w:szCs w:val="16"/>
          <w:shd w:val="clear" w:color="auto" w:fill="FFFFFF"/>
        </w:rPr>
        <w:t xml:space="preserve"> 2004; 236(2): 163–173.</w:t>
      </w:r>
    </w:p>
    <w:p w14:paraId="2B34261C" w14:textId="448B18B0" w:rsidR="00C97A6F" w:rsidRPr="000B5DC6" w:rsidRDefault="00FB3D3D" w:rsidP="009000AB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b w:val="0"/>
          <w:bCs/>
          <w:color w:val="auto"/>
          <w:sz w:val="16"/>
          <w:szCs w:val="16"/>
        </w:rPr>
        <w:t>Al-</w:t>
      </w:r>
      <w:proofErr w:type="spellStart"/>
      <w:r w:rsidRPr="000B5DC6">
        <w:rPr>
          <w:b w:val="0"/>
          <w:bCs/>
          <w:color w:val="auto"/>
          <w:sz w:val="16"/>
          <w:szCs w:val="16"/>
        </w:rPr>
        <w:t>Hawezi</w:t>
      </w:r>
      <w:proofErr w:type="spellEnd"/>
      <w:r w:rsidR="00761221">
        <w:rPr>
          <w:b w:val="0"/>
          <w:bCs/>
          <w:color w:val="auto"/>
          <w:sz w:val="16"/>
          <w:szCs w:val="16"/>
        </w:rPr>
        <w:t xml:space="preserve">, </w:t>
      </w:r>
      <w:r w:rsidR="00761221" w:rsidRPr="000B5DC6">
        <w:rPr>
          <w:b w:val="0"/>
          <w:bCs/>
          <w:color w:val="auto"/>
          <w:sz w:val="16"/>
          <w:szCs w:val="16"/>
        </w:rPr>
        <w:t>S.S.Q</w:t>
      </w:r>
      <w:r w:rsidR="00761221">
        <w:rPr>
          <w:b w:val="0"/>
          <w:bCs/>
          <w:color w:val="auto"/>
          <w:sz w:val="16"/>
          <w:szCs w:val="16"/>
        </w:rPr>
        <w:t>.</w:t>
      </w:r>
      <w:r w:rsidRPr="000B5DC6">
        <w:rPr>
          <w:b w:val="0"/>
          <w:bCs/>
          <w:color w:val="auto"/>
          <w:sz w:val="16"/>
          <w:szCs w:val="16"/>
        </w:rPr>
        <w:t xml:space="preserve"> T</w:t>
      </w:r>
      <w:r w:rsidRPr="000B5DC6">
        <w:rPr>
          <w:rFonts w:cstheme="majorBidi"/>
          <w:b w:val="0"/>
          <w:bCs/>
          <w:color w:val="auto"/>
          <w:sz w:val="16"/>
          <w:szCs w:val="16"/>
        </w:rPr>
        <w:t xml:space="preserve">he effect of addition of titanium dioxide nanofillers on the properties of flowable composite resin (in vitro study). </w:t>
      </w:r>
      <w:proofErr w:type="spellStart"/>
      <w:r w:rsidRPr="000B5DC6">
        <w:rPr>
          <w:rFonts w:cstheme="majorBidi"/>
          <w:b w:val="0"/>
          <w:bCs/>
          <w:color w:val="auto"/>
          <w:sz w:val="16"/>
          <w:szCs w:val="16"/>
        </w:rPr>
        <w:t>Ph.D.Thesis</w:t>
      </w:r>
      <w:proofErr w:type="spellEnd"/>
      <w:r w:rsidRPr="000B5DC6">
        <w:rPr>
          <w:rFonts w:cstheme="majorBidi"/>
          <w:b w:val="0"/>
          <w:bCs/>
          <w:color w:val="auto"/>
          <w:sz w:val="16"/>
          <w:szCs w:val="16"/>
        </w:rPr>
        <w:t>.</w:t>
      </w:r>
      <w:r w:rsidR="009000AB">
        <w:rPr>
          <w:rFonts w:cstheme="majorBidi"/>
          <w:b w:val="0"/>
          <w:bCs/>
          <w:color w:val="auto"/>
          <w:sz w:val="16"/>
          <w:szCs w:val="16"/>
        </w:rPr>
        <w:t xml:space="preserve"> </w:t>
      </w:r>
      <w:proofErr w:type="spellStart"/>
      <w:r w:rsidR="009000AB">
        <w:rPr>
          <w:rFonts w:cstheme="majorBidi"/>
          <w:b w:val="0"/>
          <w:bCs/>
          <w:color w:val="auto"/>
          <w:sz w:val="16"/>
          <w:szCs w:val="16"/>
        </w:rPr>
        <w:t>Hawler</w:t>
      </w:r>
      <w:proofErr w:type="spellEnd"/>
      <w:r w:rsidR="009000AB">
        <w:rPr>
          <w:rFonts w:cstheme="majorBidi"/>
          <w:b w:val="0"/>
          <w:bCs/>
          <w:color w:val="auto"/>
          <w:sz w:val="16"/>
          <w:szCs w:val="16"/>
        </w:rPr>
        <w:t xml:space="preserve"> Medical University,</w:t>
      </w:r>
      <w:r w:rsidRPr="000B5DC6">
        <w:rPr>
          <w:rFonts w:cstheme="majorBidi"/>
          <w:b w:val="0"/>
          <w:bCs/>
          <w:color w:val="auto"/>
          <w:sz w:val="16"/>
          <w:szCs w:val="16"/>
        </w:rPr>
        <w:t xml:space="preserve"> Iraq</w:t>
      </w:r>
      <w:r w:rsidR="009000AB">
        <w:rPr>
          <w:rFonts w:cstheme="majorBidi"/>
          <w:b w:val="0"/>
          <w:bCs/>
          <w:color w:val="auto"/>
          <w:sz w:val="16"/>
          <w:szCs w:val="16"/>
        </w:rPr>
        <w:t xml:space="preserve">, </w:t>
      </w:r>
      <w:r w:rsidR="009000AB" w:rsidRPr="000B5DC6">
        <w:rPr>
          <w:rFonts w:cstheme="majorBidi"/>
          <w:b w:val="0"/>
          <w:bCs/>
          <w:color w:val="auto"/>
          <w:sz w:val="16"/>
          <w:szCs w:val="16"/>
        </w:rPr>
        <w:t>2021</w:t>
      </w:r>
      <w:r w:rsidRPr="000B5DC6">
        <w:rPr>
          <w:rFonts w:cstheme="majorBidi"/>
          <w:b w:val="0"/>
          <w:bCs/>
          <w:color w:val="auto"/>
          <w:sz w:val="16"/>
          <w:szCs w:val="16"/>
        </w:rPr>
        <w:t>.</w:t>
      </w:r>
    </w:p>
    <w:p w14:paraId="73B0B28D" w14:textId="6F372BC7" w:rsidR="00C97A6F" w:rsidRPr="000B5DC6" w:rsidRDefault="00DB2628" w:rsidP="009000AB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hyperlink r:id="rId27" w:history="1">
        <w:proofErr w:type="spellStart"/>
        <w:r w:rsidR="00FB3D3D" w:rsidRPr="000B5DC6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  <w:shd w:val="clear" w:color="auto" w:fill="FFFFFF"/>
          </w:rPr>
          <w:t>Sodagar</w:t>
        </w:r>
        <w:proofErr w:type="spellEnd"/>
      </w:hyperlink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1A7D79" w:rsidRPr="001A7D79">
        <w:rPr>
          <w:b w:val="0"/>
          <w:bCs/>
          <w:sz w:val="16"/>
          <w:szCs w:val="16"/>
        </w:rPr>
        <w:t xml:space="preserve"> </w:t>
      </w:r>
      <w:r w:rsidR="001A7D79" w:rsidRPr="000B5DC6">
        <w:rPr>
          <w:b w:val="0"/>
          <w:bCs/>
          <w:sz w:val="16"/>
          <w:szCs w:val="16"/>
        </w:rPr>
        <w:t>A.</w:t>
      </w:r>
      <w:r w:rsidR="001A7D79">
        <w:rPr>
          <w:b w:val="0"/>
          <w:bCs/>
          <w:sz w:val="16"/>
          <w:szCs w:val="16"/>
        </w:rPr>
        <w:t>,</w:t>
      </w:r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  <w:vertAlign w:val="superscript"/>
        </w:rPr>
        <w:t>  </w:t>
      </w:r>
      <w:proofErr w:type="spellStart"/>
      <w:r w:rsidR="00BB7573">
        <w:fldChar w:fldCharType="begin"/>
      </w:r>
      <w:r w:rsidR="00BB7573">
        <w:instrText xml:space="preserve"> HYPERLINK "https://pubmed.ncbi.nlm.nih.gov/?term=Akhoundi%20MS%5BAuthor%5D" </w:instrText>
      </w:r>
      <w:r w:rsidR="00BB7573">
        <w:fldChar w:fldCharType="separate"/>
      </w:r>
      <w:r w:rsidR="00FB3D3D" w:rsidRPr="000B5DC6">
        <w:rPr>
          <w:rStyle w:val="Hyperlink"/>
          <w:rFonts w:cstheme="majorBidi"/>
          <w:b w:val="0"/>
          <w:bCs/>
          <w:color w:val="000000" w:themeColor="text1"/>
          <w:sz w:val="16"/>
          <w:szCs w:val="16"/>
          <w:u w:val="none"/>
          <w:shd w:val="clear" w:color="auto" w:fill="FFFFFF"/>
        </w:rPr>
        <w:t>Akhoundi</w:t>
      </w:r>
      <w:proofErr w:type="spellEnd"/>
      <w:r w:rsidR="00BB7573">
        <w:rPr>
          <w:rStyle w:val="Hyperlink"/>
          <w:rFonts w:cstheme="majorBidi"/>
          <w:b w:val="0"/>
          <w:bCs/>
          <w:color w:val="000000" w:themeColor="text1"/>
          <w:sz w:val="16"/>
          <w:szCs w:val="16"/>
          <w:u w:val="none"/>
          <w:shd w:val="clear" w:color="auto" w:fill="FFFFFF"/>
        </w:rPr>
        <w:fldChar w:fldCharType="end"/>
      </w:r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1A7D79" w:rsidRPr="001A7D79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M.S.A.</w:t>
      </w:r>
      <w:r w:rsidR="001A7D79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  <w:vertAlign w:val="superscript"/>
        </w:rPr>
        <w:t> </w:t>
      </w:r>
      <w:proofErr w:type="spellStart"/>
      <w:r w:rsidR="00BB7573">
        <w:fldChar w:fldCharType="begin"/>
      </w:r>
      <w:r w:rsidR="00BB7573">
        <w:instrText xml:space="preserve"> HYPERLINK "https://pubmed.ncbi.nlm.nih.gov/?term=Bahador%20A%5BAuthor%5D" </w:instrText>
      </w:r>
      <w:r w:rsidR="00BB7573">
        <w:fldChar w:fldCharType="separate"/>
      </w:r>
      <w:r w:rsidR="00FB3D3D" w:rsidRPr="000B5DC6">
        <w:rPr>
          <w:rStyle w:val="Hyperlink"/>
          <w:rFonts w:cstheme="majorBidi"/>
          <w:b w:val="0"/>
          <w:bCs/>
          <w:color w:val="000000" w:themeColor="text1"/>
          <w:sz w:val="16"/>
          <w:szCs w:val="16"/>
          <w:u w:val="none"/>
          <w:shd w:val="clear" w:color="auto" w:fill="FFFFFF"/>
        </w:rPr>
        <w:t>Bahador</w:t>
      </w:r>
      <w:proofErr w:type="spellEnd"/>
      <w:r w:rsidR="00BB7573">
        <w:rPr>
          <w:rStyle w:val="Hyperlink"/>
          <w:rFonts w:cstheme="majorBidi"/>
          <w:b w:val="0"/>
          <w:bCs/>
          <w:color w:val="000000" w:themeColor="text1"/>
          <w:sz w:val="16"/>
          <w:szCs w:val="16"/>
          <w:u w:val="none"/>
          <w:shd w:val="clear" w:color="auto" w:fill="FFFFFF"/>
        </w:rPr>
        <w:fldChar w:fldCharType="end"/>
      </w:r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1A7D79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A</w:t>
      </w:r>
      <w:r w:rsidR="001A7D79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  <w:vertAlign w:val="superscript"/>
        </w:rPr>
        <w:t xml:space="preserve"> </w:t>
      </w:r>
      <w:r w:rsidR="009000AB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et al. </w:t>
      </w:r>
      <w:r w:rsidR="00FB3D3D" w:rsidRPr="000B5DC6">
        <w:rPr>
          <w:rFonts w:cstheme="majorBidi"/>
          <w:b w:val="0"/>
          <w:bCs/>
          <w:spacing w:val="-2"/>
          <w:sz w:val="16"/>
          <w:szCs w:val="16"/>
        </w:rPr>
        <w:t>Effect of TiO</w:t>
      </w:r>
      <w:r w:rsidR="00FB3D3D" w:rsidRPr="000B5DC6">
        <w:rPr>
          <w:rFonts w:cstheme="majorBidi"/>
          <w:b w:val="0"/>
          <w:bCs/>
          <w:spacing w:val="-2"/>
          <w:sz w:val="16"/>
          <w:szCs w:val="16"/>
          <w:vertAlign w:val="subscript"/>
        </w:rPr>
        <w:t>2</w:t>
      </w:r>
      <w:r w:rsidR="00FB3D3D" w:rsidRPr="000B5DC6">
        <w:rPr>
          <w:rFonts w:cstheme="majorBidi"/>
          <w:b w:val="0"/>
          <w:bCs/>
          <w:spacing w:val="-2"/>
          <w:sz w:val="16"/>
          <w:szCs w:val="16"/>
        </w:rPr>
        <w:t> nanoparticles incorporation on antibacterial properties and shear bond strength of dental composite used in Orthodontics</w:t>
      </w:r>
      <w:r w:rsidR="00FB3D3D" w:rsidRPr="000B5DC6">
        <w:rPr>
          <w:rFonts w:cstheme="majorBidi"/>
          <w:b w:val="0"/>
          <w:bCs/>
          <w:sz w:val="16"/>
          <w:szCs w:val="16"/>
        </w:rPr>
        <w:t>.</w:t>
      </w:r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hyperlink r:id="rId28" w:history="1">
        <w:r w:rsidR="009000AB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</w:rPr>
          <w:t>Dent</w:t>
        </w:r>
        <w:r w:rsidR="00FB3D3D" w:rsidRPr="000B5DC6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</w:rPr>
          <w:t xml:space="preserve"> Press J </w:t>
        </w:r>
        <w:proofErr w:type="spellStart"/>
        <w:r w:rsidR="00FB3D3D" w:rsidRPr="000B5DC6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</w:rPr>
          <w:t>Orthod</w:t>
        </w:r>
        <w:proofErr w:type="spellEnd"/>
        <w:r w:rsidR="00FB3D3D" w:rsidRPr="000B5DC6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</w:rPr>
          <w:t>.</w:t>
        </w:r>
      </w:hyperlink>
      <w:r w:rsidR="00FB3D3D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 2017; 22(5): 67–74.</w:t>
      </w:r>
    </w:p>
    <w:p w14:paraId="4D94B01B" w14:textId="5983AED8" w:rsidR="00C97A6F" w:rsidRPr="000B5DC6" w:rsidRDefault="006E521A" w:rsidP="009000AB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Ahmed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 xml:space="preserve">A.Q. </w:t>
      </w:r>
      <w:r w:rsidRPr="000B5DC6">
        <w:rPr>
          <w:rFonts w:cstheme="majorBidi"/>
          <w:b w:val="0"/>
          <w:bCs/>
          <w:sz w:val="16"/>
          <w:szCs w:val="16"/>
        </w:rPr>
        <w:t>The influence of titanium dioxide nanoparticles (TiO2NPS) incorporation into heat cured soft denture lining material on Candida albicans adherence and som</w:t>
      </w:r>
      <w:r w:rsidR="009000AB">
        <w:rPr>
          <w:rFonts w:cstheme="majorBidi"/>
          <w:b w:val="0"/>
          <w:bCs/>
          <w:sz w:val="16"/>
          <w:szCs w:val="16"/>
        </w:rPr>
        <w:t xml:space="preserve">e other properties. </w:t>
      </w:r>
      <w:proofErr w:type="spellStart"/>
      <w:r w:rsidR="009000AB">
        <w:rPr>
          <w:rFonts w:cstheme="majorBidi"/>
          <w:b w:val="0"/>
          <w:bCs/>
          <w:sz w:val="16"/>
          <w:szCs w:val="16"/>
        </w:rPr>
        <w:t>M.Sc</w:t>
      </w:r>
      <w:proofErr w:type="spellEnd"/>
      <w:r w:rsidR="009000AB">
        <w:rPr>
          <w:rFonts w:cstheme="majorBidi"/>
          <w:b w:val="0"/>
          <w:bCs/>
          <w:sz w:val="16"/>
          <w:szCs w:val="16"/>
        </w:rPr>
        <w:t xml:space="preserve"> thesis. University of Baghdad, </w:t>
      </w:r>
      <w:r w:rsidRPr="000B5DC6">
        <w:rPr>
          <w:rFonts w:cstheme="majorBidi"/>
          <w:b w:val="0"/>
          <w:bCs/>
          <w:sz w:val="16"/>
          <w:szCs w:val="16"/>
        </w:rPr>
        <w:t>Iraq</w:t>
      </w:r>
      <w:r w:rsidR="009000AB">
        <w:rPr>
          <w:rFonts w:cstheme="majorBidi"/>
          <w:b w:val="0"/>
          <w:bCs/>
          <w:sz w:val="16"/>
          <w:szCs w:val="16"/>
        </w:rPr>
        <w:t xml:space="preserve">, </w:t>
      </w:r>
      <w:r w:rsidR="009000AB" w:rsidRPr="000B5DC6">
        <w:rPr>
          <w:rFonts w:cstheme="majorBidi"/>
          <w:b w:val="0"/>
          <w:bCs/>
          <w:sz w:val="16"/>
          <w:szCs w:val="16"/>
        </w:rPr>
        <w:t>2018.</w:t>
      </w:r>
      <w:r w:rsidRPr="000B5DC6">
        <w:rPr>
          <w:rFonts w:cstheme="majorBidi"/>
          <w:b w:val="0"/>
          <w:bCs/>
          <w:sz w:val="16"/>
          <w:szCs w:val="16"/>
        </w:rPr>
        <w:t>.</w:t>
      </w:r>
    </w:p>
    <w:p w14:paraId="74E79927" w14:textId="06F3E45C" w:rsidR="00C97A6F" w:rsidRPr="000B5DC6" w:rsidRDefault="00061265" w:rsidP="00D704F9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Whitfield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P.</w:t>
      </w:r>
      <w:r w:rsidR="001A7D79">
        <w:rPr>
          <w:rFonts w:cstheme="majorBidi"/>
          <w:b w:val="0"/>
          <w:bCs/>
          <w:sz w:val="16"/>
          <w:szCs w:val="16"/>
        </w:rPr>
        <w:t>,</w:t>
      </w:r>
      <w:r w:rsidRPr="000B5DC6">
        <w:rPr>
          <w:rFonts w:cstheme="majorBidi"/>
          <w:b w:val="0"/>
          <w:bCs/>
          <w:sz w:val="16"/>
          <w:szCs w:val="16"/>
        </w:rPr>
        <w:t xml:space="preserve"> Mitchell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L.</w:t>
      </w:r>
      <w:r w:rsidRPr="000B5DC6">
        <w:rPr>
          <w:rFonts w:cstheme="majorBidi"/>
          <w:b w:val="0"/>
          <w:bCs/>
          <w:sz w:val="16"/>
          <w:szCs w:val="16"/>
        </w:rPr>
        <w:t xml:space="preserve"> X-ray diffraction analysis of nanoparticles: Recent developments, potential problems and some solutions. </w:t>
      </w:r>
      <w:r w:rsidR="00594EC5" w:rsidRPr="00594EC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 xml:space="preserve">Int J </w:t>
      </w:r>
      <w:proofErr w:type="spellStart"/>
      <w:r w:rsidR="00594EC5" w:rsidRPr="00594EC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Nanosci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. 2004;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3(6):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757–63.</w:t>
      </w:r>
    </w:p>
    <w:p w14:paraId="12D3352A" w14:textId="09B52FB5" w:rsidR="00C97A6F" w:rsidRPr="000B5DC6" w:rsidRDefault="00061265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Bunaciu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>,</w:t>
      </w:r>
      <w:r w:rsidR="001A7D79" w:rsidRPr="001A7D79">
        <w:rPr>
          <w:rFonts w:cstheme="majorBidi"/>
          <w:b w:val="0"/>
          <w:bCs/>
          <w:sz w:val="16"/>
          <w:szCs w:val="16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</w:rPr>
        <w:t>A.A.</w:t>
      </w:r>
      <w:r w:rsidRPr="000B5DC6">
        <w:rPr>
          <w:rFonts w:cstheme="majorBidi"/>
          <w:b w:val="0"/>
          <w:bCs/>
          <w:sz w:val="16"/>
          <w:szCs w:val="16"/>
        </w:rPr>
        <w:t xml:space="preserve">,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UdriŞTioiu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>,</w:t>
      </w:r>
      <w:r w:rsidR="001A7D79" w:rsidRPr="001A7D79">
        <w:rPr>
          <w:rFonts w:cstheme="majorBidi"/>
          <w:b w:val="0"/>
          <w:bCs/>
          <w:sz w:val="16"/>
          <w:szCs w:val="16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</w:rPr>
        <w:t>E.G.</w:t>
      </w:r>
      <w:r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Aboul-Enein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H.Y.</w:t>
      </w:r>
      <w:r w:rsidRPr="000B5DC6">
        <w:rPr>
          <w:rFonts w:cstheme="majorBidi"/>
          <w:b w:val="0"/>
          <w:bCs/>
          <w:sz w:val="16"/>
          <w:szCs w:val="16"/>
        </w:rPr>
        <w:t xml:space="preserve"> X-ray diffraction: instrumentation and applications. </w:t>
      </w:r>
      <w:r w:rsidR="00594EC5" w:rsidRPr="00594EC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Crit Rev Anal Chem</w:t>
      </w:r>
      <w:r w:rsidRPr="00594EC5">
        <w:rPr>
          <w:rFonts w:cstheme="majorBidi"/>
          <w:b w:val="0"/>
          <w:bCs/>
          <w:sz w:val="13"/>
          <w:szCs w:val="13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2015;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45(4):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289–99.</w:t>
      </w:r>
    </w:p>
    <w:p w14:paraId="013E1F53" w14:textId="1A17EADE" w:rsidR="00C97A6F" w:rsidRPr="000B5DC6" w:rsidRDefault="00061265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Ruparelia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>,</w:t>
      </w:r>
      <w:r w:rsidR="001A7D79" w:rsidRPr="001A7D79">
        <w:rPr>
          <w:rFonts w:cstheme="majorBidi"/>
          <w:b w:val="0"/>
          <w:bCs/>
          <w:sz w:val="16"/>
          <w:szCs w:val="16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</w:rPr>
        <w:t>J.P</w:t>
      </w:r>
      <w:r w:rsidR="001A7D79">
        <w:rPr>
          <w:rFonts w:cstheme="majorBidi"/>
          <w:b w:val="0"/>
          <w:bCs/>
          <w:sz w:val="16"/>
          <w:szCs w:val="16"/>
        </w:rPr>
        <w:t>.</w:t>
      </w:r>
      <w:r w:rsidRPr="000B5DC6">
        <w:rPr>
          <w:rFonts w:cstheme="majorBidi"/>
          <w:b w:val="0"/>
          <w:bCs/>
          <w:sz w:val="16"/>
          <w:szCs w:val="16"/>
        </w:rPr>
        <w:t>, Chatterjee,</w:t>
      </w:r>
      <w:r w:rsidR="001A7D79" w:rsidRPr="001A7D79">
        <w:rPr>
          <w:rFonts w:cstheme="majorBidi"/>
          <w:b w:val="0"/>
          <w:bCs/>
          <w:sz w:val="16"/>
          <w:szCs w:val="16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</w:rPr>
        <w:t>A.K.</w:t>
      </w:r>
      <w:r w:rsidR="001A7D79">
        <w:rPr>
          <w:rFonts w:cstheme="majorBidi"/>
          <w:b w:val="0"/>
          <w:bCs/>
          <w:sz w:val="16"/>
          <w:szCs w:val="16"/>
        </w:rPr>
        <w:t>,</w:t>
      </w:r>
      <w:r w:rsidR="001A7D79"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Duttagupta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S.P.</w:t>
      </w:r>
      <w:r w:rsidR="001A7D79">
        <w:rPr>
          <w:rFonts w:cstheme="majorBidi"/>
          <w:b w:val="0"/>
          <w:bCs/>
          <w:sz w:val="16"/>
          <w:szCs w:val="16"/>
        </w:rPr>
        <w:t>, et al</w:t>
      </w:r>
      <w:r w:rsidRPr="000B5DC6">
        <w:rPr>
          <w:rFonts w:cstheme="majorBidi"/>
          <w:b w:val="0"/>
          <w:bCs/>
          <w:sz w:val="16"/>
          <w:szCs w:val="16"/>
        </w:rPr>
        <w:t xml:space="preserve">. Strain specificity in antimicrobial activity of silver and copper nanoparticles. </w:t>
      </w:r>
      <w:r w:rsidR="00594EC5" w:rsidRPr="00594EC5">
        <w:rPr>
          <w:rStyle w:val="highlight"/>
          <w:rFonts w:ascii="Palatino" w:hAnsi="Palatino" w:cs="Arial"/>
          <w:b w:val="0"/>
          <w:bCs/>
          <w:sz w:val="16"/>
          <w:szCs w:val="16"/>
          <w:shd w:val="clear" w:color="auto" w:fill="FFFFFF"/>
        </w:rPr>
        <w:t>Acta</w:t>
      </w:r>
      <w:r w:rsidR="00594EC5" w:rsidRPr="00594EC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 </w:t>
      </w:r>
      <w:proofErr w:type="spellStart"/>
      <w:r w:rsidR="00594EC5" w:rsidRPr="00594EC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Biomater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. 2008;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4(3):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707–16</w:t>
      </w:r>
    </w:p>
    <w:p w14:paraId="402AF957" w14:textId="7E38FA8D" w:rsidR="00A370A1" w:rsidRPr="000B5DC6" w:rsidRDefault="00A370A1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Skocaj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1A7D79" w:rsidRPr="001A7D79">
        <w:rPr>
          <w:rFonts w:cstheme="majorBidi"/>
          <w:b w:val="0"/>
          <w:bCs/>
          <w:sz w:val="16"/>
          <w:szCs w:val="16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</w:rPr>
        <w:t>M.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Filipic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1A7D79" w:rsidRPr="000B5DC6">
        <w:rPr>
          <w:rFonts w:cstheme="majorBidi"/>
          <w:b w:val="0"/>
          <w:bCs/>
          <w:sz w:val="16"/>
          <w:szCs w:val="16"/>
        </w:rPr>
        <w:t xml:space="preserve"> M.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</w:rPr>
        <w:t>Petkovic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J.</w:t>
      </w:r>
      <w:r w:rsidR="001A7D79">
        <w:rPr>
          <w:rFonts w:cstheme="majorBidi"/>
          <w:b w:val="0"/>
          <w:bCs/>
          <w:sz w:val="16"/>
          <w:szCs w:val="16"/>
        </w:rPr>
        <w:t>, et al</w:t>
      </w:r>
      <w:r w:rsidRPr="000B5DC6">
        <w:rPr>
          <w:rFonts w:cstheme="majorBidi"/>
          <w:b w:val="0"/>
          <w:bCs/>
          <w:sz w:val="16"/>
          <w:szCs w:val="16"/>
        </w:rPr>
        <w:t xml:space="preserve">. Titanium dioxide in our everyday life; is it safe?.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Radiol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 xml:space="preserve"> Oncol. 2011; 45(4): 227-247.</w:t>
      </w:r>
    </w:p>
    <w:p w14:paraId="2482DF74" w14:textId="613A03EB" w:rsidR="00C97A6F" w:rsidRPr="000B5DC6" w:rsidRDefault="004D4A46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Abdelrahman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H.K.</w:t>
      </w:r>
      <w:r w:rsidRPr="000B5DC6">
        <w:rPr>
          <w:rFonts w:cstheme="majorBidi"/>
          <w:b w:val="0"/>
          <w:bCs/>
          <w:sz w:val="16"/>
          <w:szCs w:val="16"/>
        </w:rPr>
        <w:t xml:space="preserve"> Al-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Sammaraie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S.A.S.</w:t>
      </w:r>
      <w:r w:rsidRPr="000B5DC6">
        <w:rPr>
          <w:rFonts w:cstheme="majorBidi"/>
          <w:b w:val="0"/>
          <w:bCs/>
          <w:sz w:val="16"/>
          <w:szCs w:val="16"/>
        </w:rPr>
        <w:t xml:space="preserve"> Effect of addition of Magnesium Oxide Nanoparticles on surface hardness and tensile bond strength of denture soft liner. IJFMT. 2020;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14(3): 2479-2485.</w:t>
      </w:r>
    </w:p>
    <w:p w14:paraId="10B00A6A" w14:textId="38C14328" w:rsidR="00C97A6F" w:rsidRPr="000B5DC6" w:rsidRDefault="00E759D3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Monteiro,</w:t>
      </w:r>
      <w:r w:rsidR="001A7D79" w:rsidRPr="001A7D79">
        <w:rPr>
          <w:rFonts w:cstheme="majorBidi"/>
          <w:b w:val="0"/>
          <w:bCs/>
          <w:sz w:val="16"/>
          <w:szCs w:val="16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</w:rPr>
        <w:t>D.R.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Gorup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1A7D79" w:rsidRPr="001A7D79">
        <w:rPr>
          <w:rFonts w:cstheme="majorBidi"/>
          <w:b w:val="0"/>
          <w:bCs/>
          <w:sz w:val="16"/>
          <w:szCs w:val="16"/>
        </w:rPr>
        <w:t xml:space="preserve"> </w:t>
      </w:r>
      <w:r w:rsidR="001A7D79" w:rsidRPr="000B5DC6">
        <w:rPr>
          <w:rFonts w:cstheme="majorBidi"/>
          <w:b w:val="0"/>
          <w:bCs/>
          <w:sz w:val="16"/>
          <w:szCs w:val="16"/>
        </w:rPr>
        <w:t>L.F.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Takamiya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1A7D79" w:rsidRPr="000B5DC6">
        <w:rPr>
          <w:rFonts w:cstheme="majorBidi"/>
          <w:b w:val="0"/>
          <w:bCs/>
          <w:sz w:val="16"/>
          <w:szCs w:val="16"/>
        </w:rPr>
        <w:t xml:space="preserve"> A.S.</w:t>
      </w:r>
      <w:r w:rsidR="001A7D79">
        <w:rPr>
          <w:rFonts w:cstheme="majorBidi"/>
          <w:b w:val="0"/>
          <w:bCs/>
          <w:sz w:val="16"/>
          <w:szCs w:val="16"/>
        </w:rPr>
        <w:t>, et al</w:t>
      </w:r>
      <w:r w:rsidRPr="000B5DC6">
        <w:rPr>
          <w:rFonts w:cstheme="majorBidi"/>
          <w:b w:val="0"/>
          <w:bCs/>
          <w:sz w:val="16"/>
          <w:szCs w:val="16"/>
        </w:rPr>
        <w:t>. Silver distribution and release from an antimicrobial denture base resin containing silver colloidal nanoparticles.</w:t>
      </w:r>
      <w:r w:rsidR="00306A75">
        <w:rPr>
          <w:rFonts w:ascii="Arial" w:hAnsi="Arial" w:cs="Arial"/>
          <w:szCs w:val="20"/>
          <w:shd w:val="clear" w:color="auto" w:fill="FFFFFF"/>
        </w:rPr>
        <w:t> </w:t>
      </w:r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 xml:space="preserve">J </w:t>
      </w:r>
      <w:proofErr w:type="spellStart"/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Prosthodont</w:t>
      </w:r>
      <w:proofErr w:type="spellEnd"/>
      <w:r w:rsidR="00D704F9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.</w:t>
      </w:r>
      <w:r w:rsidRPr="00306A75">
        <w:rPr>
          <w:rFonts w:cstheme="majorBidi"/>
          <w:b w:val="0"/>
          <w:bCs/>
          <w:sz w:val="13"/>
          <w:szCs w:val="13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2012;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21(1):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7–15</w:t>
      </w:r>
      <w:r w:rsidR="00937978" w:rsidRPr="000B5DC6">
        <w:rPr>
          <w:rFonts w:cstheme="majorBidi"/>
          <w:b w:val="0"/>
          <w:bCs/>
          <w:sz w:val="16"/>
          <w:szCs w:val="16"/>
        </w:rPr>
        <w:t>.</w:t>
      </w:r>
    </w:p>
    <w:p w14:paraId="578F98F2" w14:textId="4250EB60" w:rsidR="00C97A6F" w:rsidRPr="000B5DC6" w:rsidRDefault="0077473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P</w:t>
      </w:r>
      <w:r w:rsidR="00937978" w:rsidRPr="000B5DC6">
        <w:rPr>
          <w:rFonts w:cstheme="majorBidi"/>
          <w:b w:val="0"/>
          <w:bCs/>
          <w:sz w:val="16"/>
          <w:szCs w:val="16"/>
        </w:rPr>
        <w:t>faller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M.A.</w:t>
      </w:r>
      <w:r w:rsidRPr="000B5DC6">
        <w:rPr>
          <w:rFonts w:cstheme="majorBidi"/>
          <w:b w:val="0"/>
          <w:bCs/>
          <w:sz w:val="16"/>
          <w:szCs w:val="16"/>
        </w:rPr>
        <w:t xml:space="preserve"> </w:t>
      </w:r>
      <w:r w:rsidR="00937978" w:rsidRPr="000B5DC6">
        <w:rPr>
          <w:rFonts w:cstheme="majorBidi"/>
          <w:b w:val="0"/>
          <w:bCs/>
          <w:sz w:val="16"/>
          <w:szCs w:val="16"/>
        </w:rPr>
        <w:t>National Committee for Clinical Laboratory Standards. Reference method for broth dilution antifungal susceptibility testing of yeasts: approved standard. Wayne, Pa.: National Committee for Clinical Laboratory Standards; 2002.</w:t>
      </w:r>
    </w:p>
    <w:p w14:paraId="16DE780B" w14:textId="3CD7DFB8" w:rsidR="00C97A6F" w:rsidRPr="000B5DC6" w:rsidRDefault="0077473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Coyle</w:t>
      </w:r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M.B.</w:t>
      </w:r>
      <w:r w:rsidRPr="000B5DC6">
        <w:rPr>
          <w:rFonts w:cstheme="majorBidi"/>
          <w:b w:val="0"/>
          <w:bCs/>
          <w:sz w:val="16"/>
          <w:szCs w:val="16"/>
        </w:rPr>
        <w:t xml:space="preserve"> American Society for Microbiology. Manual of antimicrobial susceptibility testing. Burnaby, BC: BCIT Imaging Services; 2012.</w:t>
      </w:r>
    </w:p>
    <w:p w14:paraId="0D855DD9" w14:textId="5BFB50F9" w:rsidR="00C97A6F" w:rsidRPr="000B5DC6" w:rsidRDefault="0077473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Chneider</w:t>
      </w:r>
      <w:proofErr w:type="spellEnd"/>
      <w:r w:rsidR="001A7D79">
        <w:rPr>
          <w:rFonts w:cstheme="majorBidi"/>
          <w:b w:val="0"/>
          <w:bCs/>
          <w:sz w:val="16"/>
          <w:szCs w:val="16"/>
        </w:rPr>
        <w:t xml:space="preserve">, </w:t>
      </w:r>
      <w:r w:rsidR="001A7D79" w:rsidRPr="000B5DC6">
        <w:rPr>
          <w:rFonts w:cstheme="majorBidi"/>
          <w:b w:val="0"/>
          <w:bCs/>
          <w:sz w:val="16"/>
          <w:szCs w:val="16"/>
        </w:rPr>
        <w:t>C.A.</w:t>
      </w:r>
      <w:r w:rsidR="0071190B">
        <w:rPr>
          <w:rFonts w:cstheme="majorBidi"/>
          <w:b w:val="0"/>
          <w:bCs/>
          <w:sz w:val="16"/>
          <w:szCs w:val="16"/>
        </w:rPr>
        <w:t>,</w:t>
      </w:r>
      <w:r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Rasband</w:t>
      </w:r>
      <w:proofErr w:type="spellEnd"/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W.S</w:t>
      </w:r>
      <w:r w:rsidR="0071190B">
        <w:rPr>
          <w:rFonts w:cstheme="majorBidi"/>
          <w:b w:val="0"/>
          <w:bCs/>
          <w:sz w:val="16"/>
          <w:szCs w:val="16"/>
        </w:rPr>
        <w:t>.,</w:t>
      </w:r>
      <w:r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Eliceiri</w:t>
      </w:r>
      <w:proofErr w:type="spellEnd"/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K.W.</w:t>
      </w:r>
      <w:r w:rsidRPr="000B5DC6">
        <w:rPr>
          <w:rFonts w:cstheme="majorBidi"/>
          <w:b w:val="0"/>
          <w:bCs/>
          <w:sz w:val="16"/>
          <w:szCs w:val="16"/>
        </w:rPr>
        <w:t xml:space="preserve"> NIH Image to ImageJ: 25 years of image analysis. Nat Methods. 2012;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9(7):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671–5.</w:t>
      </w:r>
    </w:p>
    <w:p w14:paraId="43BE6DC1" w14:textId="47106B90" w:rsidR="00C97A6F" w:rsidRPr="000B5DC6" w:rsidRDefault="00774738" w:rsidP="00D704F9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Bykowski</w:t>
      </w:r>
      <w:proofErr w:type="spellEnd"/>
      <w:r w:rsidR="0071190B">
        <w:rPr>
          <w:rFonts w:cstheme="majorBidi"/>
          <w:b w:val="0"/>
          <w:bCs/>
          <w:sz w:val="16"/>
          <w:szCs w:val="16"/>
        </w:rPr>
        <w:t>,</w:t>
      </w:r>
      <w:r w:rsidR="0071190B" w:rsidRPr="0071190B">
        <w:rPr>
          <w:rFonts w:cstheme="majorBidi"/>
          <w:b w:val="0"/>
          <w:bCs/>
          <w:sz w:val="16"/>
          <w:szCs w:val="16"/>
        </w:rPr>
        <w:t xml:space="preserve"> </w:t>
      </w:r>
      <w:r w:rsidR="0071190B" w:rsidRPr="000B5DC6">
        <w:rPr>
          <w:rFonts w:cstheme="majorBidi"/>
          <w:b w:val="0"/>
          <w:bCs/>
          <w:sz w:val="16"/>
          <w:szCs w:val="16"/>
        </w:rPr>
        <w:t>T.</w:t>
      </w:r>
      <w:r w:rsidRPr="000B5DC6">
        <w:rPr>
          <w:rFonts w:cstheme="majorBidi"/>
          <w:b w:val="0"/>
          <w:bCs/>
          <w:sz w:val="16"/>
          <w:szCs w:val="16"/>
        </w:rPr>
        <w:t xml:space="preserve"> Stevenson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B.</w:t>
      </w:r>
      <w:r w:rsidRPr="000B5DC6">
        <w:rPr>
          <w:rFonts w:cstheme="majorBidi"/>
          <w:b w:val="0"/>
          <w:bCs/>
          <w:sz w:val="16"/>
          <w:szCs w:val="16"/>
        </w:rPr>
        <w:t xml:space="preserve"> Aseptic technique. Current </w:t>
      </w:r>
      <w:r w:rsidR="00D704F9">
        <w:rPr>
          <w:rFonts w:cstheme="majorBidi"/>
          <w:b w:val="0"/>
          <w:bCs/>
          <w:sz w:val="16"/>
          <w:szCs w:val="16"/>
        </w:rPr>
        <w:t>P</w:t>
      </w:r>
      <w:r w:rsidRPr="000B5DC6">
        <w:rPr>
          <w:rFonts w:cstheme="majorBidi"/>
          <w:b w:val="0"/>
          <w:bCs/>
          <w:sz w:val="16"/>
          <w:szCs w:val="16"/>
        </w:rPr>
        <w:t xml:space="preserve">rotocols </w:t>
      </w:r>
      <w:r w:rsidR="00D704F9">
        <w:rPr>
          <w:rFonts w:cstheme="majorBidi"/>
          <w:b w:val="0"/>
          <w:bCs/>
          <w:sz w:val="16"/>
          <w:szCs w:val="16"/>
        </w:rPr>
        <w:t>M</w:t>
      </w:r>
      <w:r w:rsidRPr="000B5DC6">
        <w:rPr>
          <w:rFonts w:cstheme="majorBidi"/>
          <w:b w:val="0"/>
          <w:bCs/>
          <w:sz w:val="16"/>
          <w:szCs w:val="16"/>
        </w:rPr>
        <w:t>icrobiol. 2008;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11(1):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A-4D.</w:t>
      </w:r>
    </w:p>
    <w:p w14:paraId="3063BF28" w14:textId="3D06C06A" w:rsidR="00C97A6F" w:rsidRPr="000B5DC6" w:rsidRDefault="0077473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lastRenderedPageBreak/>
        <w:t>Omer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R.A.</w:t>
      </w:r>
      <w:r w:rsidR="0071190B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Ikram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F.S</w:t>
      </w:r>
      <w:r w:rsidRPr="000B5DC6">
        <w:rPr>
          <w:rFonts w:cstheme="majorBidi"/>
          <w:b w:val="0"/>
          <w:bCs/>
          <w:sz w:val="16"/>
          <w:szCs w:val="16"/>
        </w:rPr>
        <w:t>. Evaluation of Antibacterial Effect of Silver and Copper Oxide</w:t>
      </w:r>
      <w:r w:rsidR="00980941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 xml:space="preserve">Nanoparticles in Denture Base Material Against Streptococcus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mutans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 xml:space="preserve"> an</w:t>
      </w:r>
      <w:r w:rsidR="00980941">
        <w:rPr>
          <w:rFonts w:cstheme="majorBidi"/>
          <w:b w:val="0"/>
          <w:bCs/>
          <w:sz w:val="16"/>
          <w:szCs w:val="16"/>
        </w:rPr>
        <w:t>d Escherichia coli. Saudi Dental J. 2019</w:t>
      </w:r>
      <w:r w:rsidRPr="000B5DC6">
        <w:rPr>
          <w:rFonts w:cstheme="majorBidi"/>
          <w:b w:val="0"/>
          <w:bCs/>
          <w:sz w:val="16"/>
          <w:szCs w:val="16"/>
        </w:rPr>
        <w:t>;</w:t>
      </w:r>
      <w:r w:rsidR="00980941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6(1):13–20.</w:t>
      </w:r>
    </w:p>
    <w:p w14:paraId="7C6F9739" w14:textId="53C90F54" w:rsidR="00C97A6F" w:rsidRPr="000B5DC6" w:rsidRDefault="00BB23E4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I</w:t>
      </w:r>
      <w:r w:rsidR="00774738" w:rsidRPr="000B5DC6">
        <w:rPr>
          <w:rFonts w:cstheme="majorBidi"/>
          <w:b w:val="0"/>
          <w:bCs/>
          <w:sz w:val="16"/>
          <w:szCs w:val="16"/>
        </w:rPr>
        <w:t xml:space="preserve">SO 21563: 2021. Dentistry-Hydrocolloid Impression Material. </w:t>
      </w:r>
      <w:r w:rsidR="00907235">
        <w:rPr>
          <w:rFonts w:cstheme="majorBidi"/>
          <w:b w:val="0"/>
          <w:bCs/>
          <w:sz w:val="16"/>
          <w:szCs w:val="16"/>
        </w:rPr>
        <w:t>Geneva, Switzerland</w:t>
      </w:r>
      <w:r w:rsidR="00B719E6" w:rsidRPr="000B5DC6">
        <w:rPr>
          <w:rFonts w:cstheme="majorBidi"/>
          <w:b w:val="0"/>
          <w:bCs/>
          <w:sz w:val="16"/>
          <w:szCs w:val="16"/>
        </w:rPr>
        <w:t>: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="00774738" w:rsidRPr="000B5DC6">
        <w:rPr>
          <w:rFonts w:cstheme="majorBidi"/>
          <w:b w:val="0"/>
          <w:bCs/>
          <w:sz w:val="16"/>
          <w:szCs w:val="16"/>
        </w:rPr>
        <w:t xml:space="preserve">International Organization for Standardization. </w:t>
      </w:r>
    </w:p>
    <w:p w14:paraId="02EBC849" w14:textId="77777777" w:rsidR="00C97A6F" w:rsidRPr="000B5DC6" w:rsidRDefault="0077473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American Dental Association Specification No. 19 .Elastomeric Impression Materials. 2004s</w:t>
      </w:r>
    </w:p>
    <w:p w14:paraId="14E87D46" w14:textId="1118BFBE" w:rsidR="00C97A6F" w:rsidRPr="000B5DC6" w:rsidRDefault="0077473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Owen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C.P</w:t>
      </w:r>
      <w:r w:rsidRPr="000B5DC6">
        <w:rPr>
          <w:rFonts w:cstheme="majorBidi"/>
          <w:b w:val="0"/>
          <w:bCs/>
          <w:sz w:val="16"/>
          <w:szCs w:val="16"/>
        </w:rPr>
        <w:t xml:space="preserve">. An investigation into the compatibility of some irreversible hydrocolloid impression materials and dental gypsum products: Part II. A refined discriminatory procedure. </w:t>
      </w:r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J </w:t>
      </w:r>
      <w:r w:rsidR="00306A75" w:rsidRPr="00306A75">
        <w:rPr>
          <w:rStyle w:val="highlight"/>
          <w:rFonts w:ascii="Palatino" w:hAnsi="Palatino" w:cs="Arial"/>
          <w:b w:val="0"/>
          <w:bCs/>
          <w:sz w:val="16"/>
          <w:szCs w:val="16"/>
          <w:shd w:val="clear" w:color="auto" w:fill="FFFFFF"/>
        </w:rPr>
        <w:t>Oral</w:t>
      </w:r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 </w:t>
      </w:r>
      <w:proofErr w:type="spellStart"/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Rehabil</w:t>
      </w:r>
      <w:proofErr w:type="spellEnd"/>
      <w:r w:rsidRPr="00306A75">
        <w:rPr>
          <w:rFonts w:ascii="Palatino" w:hAnsi="Palatino" w:cstheme="majorBidi"/>
          <w:b w:val="0"/>
          <w:bCs/>
          <w:sz w:val="16"/>
          <w:szCs w:val="16"/>
        </w:rPr>
        <w:t>.</w:t>
      </w:r>
      <w:r w:rsidRPr="000B5DC6">
        <w:rPr>
          <w:rFonts w:cstheme="majorBidi"/>
          <w:b w:val="0"/>
          <w:bCs/>
          <w:sz w:val="16"/>
          <w:szCs w:val="16"/>
        </w:rPr>
        <w:t xml:space="preserve"> 1986;</w:t>
      </w:r>
      <w:r w:rsidR="00980941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13(2):147–62.</w:t>
      </w:r>
    </w:p>
    <w:p w14:paraId="069F0D0D" w14:textId="57DF285B" w:rsidR="00C97A6F" w:rsidRPr="000B5DC6" w:rsidRDefault="00BB23E4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 xml:space="preserve">ISO 4823: 2021. Dentistry-Elastomeric Impression Material. </w:t>
      </w:r>
      <w:r w:rsidR="00B719E6" w:rsidRPr="000B5DC6">
        <w:rPr>
          <w:rFonts w:cstheme="majorBidi"/>
          <w:b w:val="0"/>
          <w:bCs/>
          <w:sz w:val="16"/>
          <w:szCs w:val="16"/>
        </w:rPr>
        <w:t>Geneva, Switzerland: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International Organization for Standardization</w:t>
      </w:r>
      <w:r w:rsidR="00BE6C3E" w:rsidRPr="000B5DC6">
        <w:rPr>
          <w:rFonts w:cstheme="majorBidi"/>
          <w:b w:val="0"/>
          <w:bCs/>
          <w:sz w:val="16"/>
          <w:szCs w:val="16"/>
        </w:rPr>
        <w:t>.</w:t>
      </w:r>
    </w:p>
    <w:p w14:paraId="0D10A990" w14:textId="7E3E7476" w:rsidR="00C97A6F" w:rsidRPr="000B5DC6" w:rsidRDefault="00BE6C3E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Gupta,</w:t>
      </w:r>
      <w:r w:rsidR="0071190B" w:rsidRPr="0071190B">
        <w:rPr>
          <w:rFonts w:cstheme="majorBidi"/>
          <w:b w:val="0"/>
          <w:bCs/>
          <w:sz w:val="16"/>
          <w:szCs w:val="16"/>
        </w:rPr>
        <w:t xml:space="preserve"> </w:t>
      </w:r>
      <w:r w:rsidR="0071190B" w:rsidRPr="000B5DC6">
        <w:rPr>
          <w:rFonts w:cstheme="majorBidi"/>
          <w:b w:val="0"/>
          <w:bCs/>
          <w:sz w:val="16"/>
          <w:szCs w:val="16"/>
        </w:rPr>
        <w:t>S.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</w:rPr>
        <w:t>Rani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S.</w:t>
      </w:r>
      <w:r w:rsidR="0071190B">
        <w:rPr>
          <w:rFonts w:cstheme="majorBidi"/>
          <w:b w:val="0"/>
          <w:bCs/>
          <w:sz w:val="16"/>
          <w:szCs w:val="16"/>
        </w:rPr>
        <w:t>,</w:t>
      </w:r>
      <w:r w:rsidR="0071190B" w:rsidRPr="000B5DC6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Garg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="0071190B" w:rsidRPr="000B5DC6">
        <w:rPr>
          <w:rFonts w:cstheme="majorBidi"/>
          <w:b w:val="0"/>
          <w:bCs/>
          <w:sz w:val="16"/>
          <w:szCs w:val="16"/>
        </w:rPr>
        <w:t>S.</w:t>
      </w:r>
      <w:r w:rsidRPr="000B5DC6">
        <w:rPr>
          <w:rFonts w:cstheme="majorBidi"/>
          <w:b w:val="0"/>
          <w:bCs/>
          <w:sz w:val="16"/>
          <w:szCs w:val="16"/>
        </w:rPr>
        <w:t xml:space="preserve"> Infection control knowledge and practice: a cross-sectional survey on dental laboratories in dental institutes of North India. J Indian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Prosthodont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 xml:space="preserve"> Soc 2017;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17: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348- 354.</w:t>
      </w:r>
    </w:p>
    <w:p w14:paraId="485EF1A3" w14:textId="4D60AEA5" w:rsidR="00C97A6F" w:rsidRPr="000B5DC6" w:rsidRDefault="00BE6C3E" w:rsidP="00980941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Courrol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71190B" w:rsidRPr="0071190B">
        <w:rPr>
          <w:rFonts w:cstheme="majorBidi"/>
          <w:b w:val="0"/>
          <w:bCs/>
          <w:sz w:val="16"/>
          <w:szCs w:val="16"/>
        </w:rPr>
        <w:t xml:space="preserve"> </w:t>
      </w:r>
      <w:r w:rsidR="0071190B" w:rsidRPr="000B5DC6">
        <w:rPr>
          <w:rFonts w:cstheme="majorBidi"/>
          <w:b w:val="0"/>
          <w:bCs/>
          <w:sz w:val="16"/>
          <w:szCs w:val="16"/>
        </w:rPr>
        <w:t>D.S.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</w:rPr>
        <w:t>Lopes,</w:t>
      </w:r>
      <w:r w:rsidR="0071190B" w:rsidRPr="000B5DC6">
        <w:rPr>
          <w:rFonts w:cstheme="majorBidi"/>
          <w:b w:val="0"/>
          <w:bCs/>
          <w:sz w:val="16"/>
          <w:szCs w:val="16"/>
        </w:rPr>
        <w:t xml:space="preserve"> C.R.B.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</w:rPr>
        <w:t>Cordeiro,</w:t>
      </w:r>
      <w:r w:rsidR="0071190B" w:rsidRPr="0071190B">
        <w:rPr>
          <w:rFonts w:cstheme="majorBidi"/>
          <w:b w:val="0"/>
          <w:bCs/>
          <w:sz w:val="16"/>
          <w:szCs w:val="16"/>
        </w:rPr>
        <w:t xml:space="preserve"> </w:t>
      </w:r>
      <w:r w:rsidR="0071190B" w:rsidRPr="000B5DC6">
        <w:rPr>
          <w:rFonts w:cstheme="majorBidi"/>
          <w:b w:val="0"/>
          <w:bCs/>
          <w:sz w:val="16"/>
          <w:szCs w:val="16"/>
        </w:rPr>
        <w:t>T.S.</w:t>
      </w:r>
      <w:r w:rsidR="0071190B">
        <w:rPr>
          <w:rFonts w:cstheme="majorBidi"/>
          <w:b w:val="0"/>
          <w:bCs/>
          <w:sz w:val="16"/>
          <w:szCs w:val="16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</w:rPr>
        <w:t>et al. Optical properties and antimicrobial effects of silver nanoparticles synthesized by femtosecond laser photor</w:t>
      </w:r>
      <w:r w:rsidR="00980941">
        <w:rPr>
          <w:rFonts w:cstheme="majorBidi"/>
          <w:b w:val="0"/>
          <w:bCs/>
          <w:sz w:val="16"/>
          <w:szCs w:val="16"/>
        </w:rPr>
        <w:t>eduction. Optics Laser Technol</w:t>
      </w:r>
      <w:r w:rsidRPr="000B5DC6">
        <w:rPr>
          <w:rFonts w:cstheme="majorBidi"/>
          <w:b w:val="0"/>
          <w:bCs/>
          <w:sz w:val="16"/>
          <w:szCs w:val="16"/>
        </w:rPr>
        <w:t>. 2018;</w:t>
      </w:r>
      <w:r w:rsidR="00980941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103:</w:t>
      </w:r>
      <w:r w:rsidR="00980941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233–8.</w:t>
      </w:r>
    </w:p>
    <w:p w14:paraId="20C57F3A" w14:textId="0EE1A22F" w:rsidR="00317C5E" w:rsidRPr="00317C5E" w:rsidRDefault="00317C5E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317C5E">
        <w:rPr>
          <w:rFonts w:cstheme="majorBidi"/>
          <w:b w:val="0"/>
          <w:bCs/>
          <w:sz w:val="16"/>
          <w:szCs w:val="16"/>
        </w:rPr>
        <w:t xml:space="preserve">de Castro DT, </w:t>
      </w:r>
      <w:proofErr w:type="spellStart"/>
      <w:r w:rsidRPr="00317C5E">
        <w:rPr>
          <w:rFonts w:cstheme="majorBidi"/>
          <w:b w:val="0"/>
          <w:bCs/>
          <w:sz w:val="16"/>
          <w:szCs w:val="16"/>
        </w:rPr>
        <w:t>Kreve</w:t>
      </w:r>
      <w:proofErr w:type="spellEnd"/>
      <w:r w:rsidRPr="00317C5E">
        <w:rPr>
          <w:rFonts w:cstheme="majorBidi"/>
          <w:b w:val="0"/>
          <w:bCs/>
          <w:sz w:val="16"/>
          <w:szCs w:val="16"/>
        </w:rPr>
        <w:t xml:space="preserve"> S, Oliveira VC, </w:t>
      </w:r>
      <w:r>
        <w:rPr>
          <w:rFonts w:cstheme="majorBidi"/>
          <w:b w:val="0"/>
          <w:bCs/>
          <w:sz w:val="16"/>
          <w:szCs w:val="16"/>
        </w:rPr>
        <w:t>et al</w:t>
      </w:r>
      <w:r w:rsidRPr="00317C5E">
        <w:rPr>
          <w:rFonts w:cstheme="majorBidi"/>
          <w:b w:val="0"/>
          <w:bCs/>
          <w:sz w:val="16"/>
          <w:szCs w:val="16"/>
        </w:rPr>
        <w:t xml:space="preserve">. Development of an impression material with antimicrobial properties for dental application. J </w:t>
      </w:r>
      <w:proofErr w:type="spellStart"/>
      <w:r w:rsidRPr="00317C5E">
        <w:rPr>
          <w:rFonts w:cstheme="majorBidi"/>
          <w:b w:val="0"/>
          <w:bCs/>
          <w:sz w:val="16"/>
          <w:szCs w:val="16"/>
        </w:rPr>
        <w:t>Prosthod</w:t>
      </w:r>
      <w:r>
        <w:rPr>
          <w:rFonts w:cstheme="majorBidi"/>
          <w:b w:val="0"/>
          <w:bCs/>
          <w:sz w:val="16"/>
          <w:szCs w:val="16"/>
        </w:rPr>
        <w:t>ont</w:t>
      </w:r>
      <w:proofErr w:type="spellEnd"/>
      <w:r w:rsidRPr="00317C5E">
        <w:rPr>
          <w:rFonts w:cstheme="majorBidi"/>
          <w:b w:val="0"/>
          <w:bCs/>
          <w:sz w:val="16"/>
          <w:szCs w:val="16"/>
        </w:rPr>
        <w:t xml:space="preserve">. 2019 Oct;28(8):906-12. </w:t>
      </w:r>
    </w:p>
    <w:p w14:paraId="47299E43" w14:textId="0B60EF35" w:rsidR="00C97A6F" w:rsidRPr="000B5DC6" w:rsidRDefault="000B79DC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</w:rPr>
        <w:t>Rajendran,</w:t>
      </w:r>
      <w:r w:rsidR="008D1AC3" w:rsidRPr="008D1AC3">
        <w:rPr>
          <w:rFonts w:cstheme="majorBidi"/>
          <w:b w:val="0"/>
          <w:bCs/>
          <w:sz w:val="16"/>
          <w:szCs w:val="16"/>
        </w:rPr>
        <w:t xml:space="preserve"> </w:t>
      </w:r>
      <w:r w:rsidR="008D1AC3" w:rsidRPr="000B5DC6">
        <w:rPr>
          <w:rFonts w:cstheme="majorBidi"/>
          <w:b w:val="0"/>
          <w:bCs/>
          <w:sz w:val="16"/>
          <w:szCs w:val="16"/>
        </w:rPr>
        <w:t>V.</w:t>
      </w:r>
      <w:r w:rsidR="008D1AC3">
        <w:rPr>
          <w:rFonts w:cstheme="majorBidi"/>
          <w:b w:val="0"/>
          <w:bCs/>
          <w:sz w:val="16"/>
          <w:szCs w:val="16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</w:rPr>
        <w:t>Suma,</w:t>
      </w:r>
      <w:r w:rsidR="008D1AC3" w:rsidRPr="000B5DC6">
        <w:rPr>
          <w:rFonts w:cstheme="majorBidi"/>
          <w:b w:val="0"/>
          <w:bCs/>
          <w:sz w:val="16"/>
          <w:szCs w:val="16"/>
        </w:rPr>
        <w:t xml:space="preserve"> K.</w:t>
      </w:r>
      <w:r w:rsidR="008D1AC3">
        <w:rPr>
          <w:rFonts w:cstheme="majorBidi"/>
          <w:b w:val="0"/>
          <w:bCs/>
          <w:sz w:val="16"/>
          <w:szCs w:val="16"/>
        </w:rPr>
        <w:t>,</w:t>
      </w:r>
      <w:r w:rsidRPr="000B5DC6">
        <w:rPr>
          <w:rFonts w:cstheme="majorBidi"/>
          <w:b w:val="0"/>
          <w:bCs/>
          <w:sz w:val="16"/>
          <w:szCs w:val="16"/>
        </w:rPr>
        <w:t xml:space="preserve"> Ali,</w:t>
      </w:r>
      <w:r w:rsidR="008D1AC3" w:rsidRPr="008D1AC3">
        <w:rPr>
          <w:rFonts w:cstheme="majorBidi"/>
          <w:b w:val="0"/>
          <w:bCs/>
          <w:sz w:val="16"/>
          <w:szCs w:val="16"/>
        </w:rPr>
        <w:t xml:space="preserve"> </w:t>
      </w:r>
      <w:r w:rsidR="008D1AC3" w:rsidRPr="000B5DC6">
        <w:rPr>
          <w:rFonts w:cstheme="majorBidi"/>
          <w:b w:val="0"/>
          <w:bCs/>
          <w:sz w:val="16"/>
          <w:szCs w:val="16"/>
        </w:rPr>
        <w:t>S.A.</w:t>
      </w:r>
      <w:r w:rsidR="008D1AC3">
        <w:rPr>
          <w:rFonts w:cstheme="majorBidi"/>
          <w:b w:val="0"/>
          <w:bCs/>
          <w:sz w:val="16"/>
          <w:szCs w:val="16"/>
        </w:rPr>
        <w:t>, et al</w:t>
      </w:r>
      <w:r w:rsidRPr="000B5DC6">
        <w:rPr>
          <w:rFonts w:cstheme="majorBidi"/>
          <w:b w:val="0"/>
          <w:bCs/>
          <w:sz w:val="16"/>
          <w:szCs w:val="16"/>
        </w:rPr>
        <w:t xml:space="preserve">. Antimicrobial Efficacy of Irreversible Hydrocolloid Impression Impregnated with Silver Nanoparticles Compared to Surface Disinfected Impressions </w:t>
      </w:r>
      <w:r w:rsidRPr="000B5DC6">
        <w:rPr>
          <w:rFonts w:cstheme="majorBidi"/>
          <w:b w:val="0"/>
          <w:bCs/>
          <w:sz w:val="16"/>
          <w:szCs w:val="16"/>
        </w:rPr>
        <w:noBreakHyphen/>
        <w:t xml:space="preserve"> An In vivo Study.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 </w:t>
      </w:r>
      <w:r w:rsidR="00306A75">
        <w:rPr>
          <w:rFonts w:ascii="Arial" w:hAnsi="Arial" w:cs="Arial"/>
          <w:szCs w:val="20"/>
          <w:shd w:val="clear" w:color="auto" w:fill="FFFFFF"/>
        </w:rPr>
        <w:br/>
      </w:r>
      <w:r w:rsidR="00306A75" w:rsidRPr="00306A75">
        <w:rPr>
          <w:rStyle w:val="highlight"/>
          <w:rFonts w:ascii="Palatino" w:hAnsi="Palatino" w:cs="Arial"/>
          <w:b w:val="0"/>
          <w:bCs/>
          <w:sz w:val="16"/>
          <w:szCs w:val="16"/>
          <w:shd w:val="clear" w:color="auto" w:fill="FFFFFF"/>
        </w:rPr>
        <w:t>J</w:t>
      </w:r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 </w:t>
      </w:r>
      <w:r w:rsidR="00306A75" w:rsidRPr="00306A75">
        <w:rPr>
          <w:rStyle w:val="highlight"/>
          <w:rFonts w:ascii="Palatino" w:hAnsi="Palatino" w:cs="Arial"/>
          <w:b w:val="0"/>
          <w:bCs/>
          <w:sz w:val="16"/>
          <w:szCs w:val="16"/>
          <w:shd w:val="clear" w:color="auto" w:fill="FFFFFF"/>
        </w:rPr>
        <w:t>Pharm</w:t>
      </w:r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 </w:t>
      </w:r>
      <w:proofErr w:type="spellStart"/>
      <w:r w:rsidR="00306A75" w:rsidRPr="00306A75">
        <w:rPr>
          <w:rStyle w:val="highlight"/>
          <w:rFonts w:ascii="Palatino" w:hAnsi="Palatino" w:cs="Arial"/>
          <w:b w:val="0"/>
          <w:bCs/>
          <w:sz w:val="16"/>
          <w:szCs w:val="16"/>
          <w:shd w:val="clear" w:color="auto" w:fill="FFFFFF"/>
        </w:rPr>
        <w:t>Bioallied</w:t>
      </w:r>
      <w:proofErr w:type="spellEnd"/>
      <w:r w:rsidR="00306A75" w:rsidRPr="00306A75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 Sci</w:t>
      </w:r>
      <w:r w:rsidRPr="000B5DC6">
        <w:rPr>
          <w:rFonts w:cstheme="majorBidi"/>
          <w:b w:val="0"/>
          <w:bCs/>
          <w:sz w:val="16"/>
          <w:szCs w:val="16"/>
        </w:rPr>
        <w:t>.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2021; 13(1):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S532-6</w:t>
      </w:r>
      <w:r w:rsidRPr="000B5DC6">
        <w:rPr>
          <w:rFonts w:cstheme="majorBidi"/>
          <w:b w:val="0"/>
          <w:bCs/>
          <w:sz w:val="16"/>
          <w:szCs w:val="16"/>
        </w:rPr>
        <w:t>.</w:t>
      </w:r>
    </w:p>
    <w:p w14:paraId="4293C943" w14:textId="18055778" w:rsidR="00C97A6F" w:rsidRPr="000B5DC6" w:rsidRDefault="00DB2628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hyperlink r:id="rId29" w:history="1">
        <w:r w:rsidR="000B79DC" w:rsidRPr="000B5DC6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  <w:bdr w:val="none" w:sz="0" w:space="0" w:color="auto" w:frame="1"/>
          </w:rPr>
          <w:t>Hu</w:t>
        </w:r>
      </w:hyperlink>
      <w:r w:rsidR="000B79DC" w:rsidRPr="000B5DC6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,</w:t>
      </w:r>
      <w:r w:rsidR="008D1AC3" w:rsidRPr="008D1AC3">
        <w:rPr>
          <w:b w:val="0"/>
          <w:bCs/>
          <w:sz w:val="16"/>
          <w:szCs w:val="16"/>
        </w:rPr>
        <w:t xml:space="preserve"> </w:t>
      </w:r>
      <w:r w:rsidR="008D1AC3" w:rsidRPr="000B5DC6">
        <w:rPr>
          <w:b w:val="0"/>
          <w:bCs/>
          <w:sz w:val="16"/>
          <w:szCs w:val="16"/>
        </w:rPr>
        <w:t>H.</w:t>
      </w:r>
      <w:r w:rsidR="008D1AC3">
        <w:rPr>
          <w:b w:val="0"/>
          <w:bCs/>
          <w:sz w:val="16"/>
          <w:szCs w:val="16"/>
        </w:rPr>
        <w:t xml:space="preserve">, </w:t>
      </w:r>
      <w:hyperlink r:id="rId30" w:history="1">
        <w:r w:rsidR="000B79DC" w:rsidRPr="000B5DC6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  <w:bdr w:val="none" w:sz="0" w:space="0" w:color="auto" w:frame="1"/>
          </w:rPr>
          <w:t>Fan</w:t>
        </w:r>
      </w:hyperlink>
      <w:r w:rsidR="000B79DC" w:rsidRPr="000B5DC6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,</w:t>
      </w:r>
      <w:r w:rsidR="008D1AC3" w:rsidRPr="000B5DC6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 X.</w:t>
      </w:r>
      <w:r w:rsidR="008D1AC3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hyperlink r:id="rId31" w:history="1">
        <w:r w:rsidR="000B79DC" w:rsidRPr="000B5DC6">
          <w:rPr>
            <w:rStyle w:val="Hyperlink"/>
            <w:rFonts w:cstheme="majorBidi"/>
            <w:b w:val="0"/>
            <w:bCs/>
            <w:color w:val="000000" w:themeColor="text1"/>
            <w:sz w:val="16"/>
            <w:szCs w:val="16"/>
            <w:u w:val="none"/>
            <w:bdr w:val="none" w:sz="0" w:space="0" w:color="auto" w:frame="1"/>
          </w:rPr>
          <w:t>Yin</w:t>
        </w:r>
      </w:hyperlink>
      <w:r w:rsidR="000B79DC" w:rsidRPr="000B5DC6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,</w:t>
      </w:r>
      <w:r w:rsidR="008D1AC3" w:rsidRPr="008D1AC3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8D1AC3" w:rsidRPr="000B5DC6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Y.</w:t>
      </w:r>
      <w:r w:rsidR="008D1AC3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,</w:t>
      </w:r>
      <w:r w:rsidR="00306A75">
        <w:rPr>
          <w:rStyle w:val="comma-separator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 et al</w:t>
      </w:r>
      <w:r w:rsidR="000B79DC" w:rsidRPr="000B5DC6">
        <w:rPr>
          <w:rStyle w:val="accordion-tabbedtab-mobile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. </w:t>
      </w:r>
      <w:r w:rsidR="000B79DC" w:rsidRPr="000B5DC6">
        <w:rPr>
          <w:rFonts w:cstheme="majorBidi"/>
          <w:b w:val="0"/>
          <w:bCs/>
          <w:sz w:val="16"/>
          <w:szCs w:val="16"/>
        </w:rPr>
        <w:t>Mechanisms of titanium dioxide nanoparticle-induced oxidative stress and modulation of plasma glucose in mice.</w:t>
      </w:r>
      <w:r w:rsidR="00140011">
        <w:rPr>
          <w:rFonts w:cstheme="majorBidi"/>
          <w:b w:val="0"/>
          <w:bCs/>
          <w:sz w:val="16"/>
          <w:szCs w:val="16"/>
        </w:rPr>
        <w:t xml:space="preserve"> E</w:t>
      </w:r>
      <w:r w:rsidR="00907235">
        <w:rPr>
          <w:rFonts w:cstheme="majorBidi"/>
          <w:b w:val="0"/>
          <w:bCs/>
          <w:sz w:val="16"/>
          <w:szCs w:val="16"/>
        </w:rPr>
        <w:t>nviron</w:t>
      </w:r>
      <w:r w:rsidR="000B79DC"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="00140011">
        <w:rPr>
          <w:rFonts w:cstheme="majorBidi"/>
          <w:b w:val="0"/>
          <w:bCs/>
          <w:sz w:val="16"/>
          <w:szCs w:val="16"/>
        </w:rPr>
        <w:t>T</w:t>
      </w:r>
      <w:r w:rsidR="00907235">
        <w:rPr>
          <w:rFonts w:cstheme="majorBidi"/>
          <w:b w:val="0"/>
          <w:bCs/>
          <w:sz w:val="16"/>
          <w:szCs w:val="16"/>
        </w:rPr>
        <w:t>oxicol</w:t>
      </w:r>
      <w:proofErr w:type="spellEnd"/>
      <w:r w:rsidR="000B79DC" w:rsidRPr="000B5DC6">
        <w:rPr>
          <w:rFonts w:cstheme="majorBidi"/>
          <w:b w:val="0"/>
          <w:bCs/>
          <w:sz w:val="16"/>
          <w:szCs w:val="16"/>
        </w:rPr>
        <w:t>.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="000B79DC" w:rsidRPr="000B5DC6">
        <w:rPr>
          <w:rFonts w:cstheme="majorBidi"/>
          <w:b w:val="0"/>
          <w:bCs/>
          <w:sz w:val="16"/>
          <w:szCs w:val="16"/>
        </w:rPr>
        <w:t>2019, 34(11):</w:t>
      </w:r>
      <w:r w:rsidR="000B79DC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1221-1235.</w:t>
      </w:r>
    </w:p>
    <w:p w14:paraId="64783371" w14:textId="4CA5586F" w:rsidR="00C97A6F" w:rsidRPr="000B5DC6" w:rsidRDefault="000B79DC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Seil</w:t>
      </w:r>
      <w:proofErr w:type="spellEnd"/>
      <w:r w:rsidR="008D1AC3">
        <w:rPr>
          <w:rFonts w:cstheme="majorBidi"/>
          <w:b w:val="0"/>
          <w:bCs/>
          <w:sz w:val="16"/>
          <w:szCs w:val="16"/>
        </w:rPr>
        <w:t xml:space="preserve">, </w:t>
      </w:r>
      <w:r w:rsidR="008D1AC3" w:rsidRPr="000B5DC6">
        <w:rPr>
          <w:rFonts w:cstheme="majorBidi"/>
          <w:b w:val="0"/>
          <w:bCs/>
          <w:sz w:val="16"/>
          <w:szCs w:val="16"/>
        </w:rPr>
        <w:t>J.T.</w:t>
      </w:r>
      <w:r w:rsidR="008D1AC3">
        <w:rPr>
          <w:rFonts w:cstheme="majorBidi"/>
          <w:b w:val="0"/>
          <w:bCs/>
          <w:sz w:val="16"/>
          <w:szCs w:val="16"/>
        </w:rPr>
        <w:t>,</w:t>
      </w:r>
      <w:r w:rsidRPr="000B5DC6">
        <w:rPr>
          <w:rFonts w:cstheme="majorBidi"/>
          <w:b w:val="0"/>
          <w:bCs/>
          <w:sz w:val="16"/>
          <w:szCs w:val="16"/>
        </w:rPr>
        <w:t xml:space="preserve"> Webster</w:t>
      </w:r>
      <w:r w:rsidR="008D1AC3">
        <w:rPr>
          <w:rFonts w:cstheme="majorBidi"/>
          <w:b w:val="0"/>
          <w:bCs/>
          <w:sz w:val="16"/>
          <w:szCs w:val="16"/>
        </w:rPr>
        <w:t xml:space="preserve">, </w:t>
      </w:r>
      <w:r w:rsidR="008D1AC3" w:rsidRPr="000B5DC6">
        <w:rPr>
          <w:rFonts w:cstheme="majorBidi"/>
          <w:b w:val="0"/>
          <w:bCs/>
          <w:sz w:val="16"/>
          <w:szCs w:val="16"/>
        </w:rPr>
        <w:t>T.J.</w:t>
      </w:r>
      <w:r w:rsidRPr="000B5DC6">
        <w:rPr>
          <w:rFonts w:cstheme="majorBidi"/>
          <w:b w:val="0"/>
          <w:bCs/>
          <w:sz w:val="16"/>
          <w:szCs w:val="16"/>
        </w:rPr>
        <w:t xml:space="preserve"> Antimicrobial applications of nanotechnology: methods and literature. Int J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Nanomed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 2012; 7: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2767-2781</w:t>
      </w:r>
    </w:p>
    <w:p w14:paraId="1318B988" w14:textId="2D55B8F5" w:rsidR="00C97A6F" w:rsidRPr="000B5DC6" w:rsidRDefault="00FF45D7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Sondi</w:t>
      </w:r>
      <w:proofErr w:type="spellEnd"/>
      <w:r w:rsidR="008D1AC3">
        <w:rPr>
          <w:rFonts w:cstheme="majorBidi"/>
          <w:b w:val="0"/>
          <w:bCs/>
          <w:sz w:val="16"/>
          <w:szCs w:val="16"/>
        </w:rPr>
        <w:t xml:space="preserve">, </w:t>
      </w:r>
      <w:r w:rsidR="008D1AC3" w:rsidRPr="000B5DC6">
        <w:rPr>
          <w:rFonts w:cstheme="majorBidi"/>
          <w:b w:val="0"/>
          <w:bCs/>
          <w:sz w:val="16"/>
          <w:szCs w:val="16"/>
        </w:rPr>
        <w:t>I.</w:t>
      </w:r>
      <w:r w:rsidR="008D1AC3">
        <w:rPr>
          <w:rFonts w:cstheme="majorBidi"/>
          <w:b w:val="0"/>
          <w:bCs/>
          <w:sz w:val="16"/>
          <w:szCs w:val="16"/>
        </w:rPr>
        <w:t>,</w:t>
      </w:r>
      <w:r w:rsidR="008D1AC3"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Salopek-Sondi</w:t>
      </w:r>
      <w:proofErr w:type="spellEnd"/>
      <w:r w:rsidR="008D1AC3">
        <w:rPr>
          <w:rFonts w:cstheme="majorBidi"/>
          <w:b w:val="0"/>
          <w:bCs/>
          <w:sz w:val="16"/>
          <w:szCs w:val="16"/>
        </w:rPr>
        <w:t xml:space="preserve">, </w:t>
      </w:r>
      <w:r w:rsidR="008D1AC3" w:rsidRPr="000B5DC6">
        <w:rPr>
          <w:rFonts w:cstheme="majorBidi"/>
          <w:b w:val="0"/>
          <w:bCs/>
          <w:sz w:val="16"/>
          <w:szCs w:val="16"/>
        </w:rPr>
        <w:t>B.</w:t>
      </w:r>
      <w:r w:rsidRPr="000B5DC6">
        <w:rPr>
          <w:rFonts w:cstheme="majorBidi"/>
          <w:b w:val="0"/>
          <w:bCs/>
          <w:sz w:val="16"/>
          <w:szCs w:val="16"/>
        </w:rPr>
        <w:t xml:space="preserve"> Silver nanoparticles as antimicrobial agent: a case study on E. coli as a model for Gram-negative bacteria. </w:t>
      </w:r>
      <w:r w:rsidR="00D179AE" w:rsidRPr="00D179AE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JCIS Open.</w:t>
      </w:r>
      <w:r w:rsidR="00D179AE" w:rsidRPr="00D179A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2004;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275(1):177–82.</w:t>
      </w:r>
    </w:p>
    <w:p w14:paraId="03F31846" w14:textId="12810243" w:rsidR="00C97A6F" w:rsidRPr="000B5DC6" w:rsidRDefault="00FF45D7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Abbaszadegan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8D1AC3" w:rsidRPr="008D1AC3">
        <w:rPr>
          <w:rFonts w:cstheme="majorBidi"/>
          <w:b w:val="0"/>
          <w:bCs/>
          <w:sz w:val="16"/>
          <w:szCs w:val="16"/>
        </w:rPr>
        <w:t xml:space="preserve"> </w:t>
      </w:r>
      <w:r w:rsidR="008D1AC3" w:rsidRPr="000B5DC6">
        <w:rPr>
          <w:rFonts w:cstheme="majorBidi"/>
          <w:b w:val="0"/>
          <w:bCs/>
          <w:sz w:val="16"/>
          <w:szCs w:val="16"/>
        </w:rPr>
        <w:t>A</w:t>
      </w:r>
      <w:r w:rsidR="008D1AC3">
        <w:rPr>
          <w:rFonts w:cstheme="majorBidi"/>
          <w:b w:val="0"/>
          <w:bCs/>
          <w:sz w:val="16"/>
          <w:szCs w:val="16"/>
        </w:rPr>
        <w:t>.,</w:t>
      </w:r>
      <w:r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Ghahramani</w:t>
      </w:r>
      <w:proofErr w:type="spellEnd"/>
      <w:r w:rsidR="003E39B1" w:rsidRPr="000B5DC6">
        <w:rPr>
          <w:rFonts w:cstheme="majorBidi"/>
          <w:b w:val="0"/>
          <w:bCs/>
          <w:sz w:val="16"/>
          <w:szCs w:val="16"/>
        </w:rPr>
        <w:t>,</w:t>
      </w:r>
      <w:r w:rsidR="008D1AC3">
        <w:rPr>
          <w:rFonts w:cstheme="majorBidi"/>
          <w:b w:val="0"/>
          <w:bCs/>
          <w:sz w:val="16"/>
          <w:szCs w:val="16"/>
        </w:rPr>
        <w:t xml:space="preserve"> </w:t>
      </w:r>
      <w:r w:rsidR="008D1AC3" w:rsidRPr="000B5DC6">
        <w:rPr>
          <w:rFonts w:cstheme="majorBidi"/>
          <w:b w:val="0"/>
          <w:bCs/>
          <w:sz w:val="16"/>
          <w:szCs w:val="16"/>
        </w:rPr>
        <w:t>Y.</w:t>
      </w:r>
      <w:r w:rsidR="008D1AC3">
        <w:rPr>
          <w:rFonts w:cstheme="majorBidi"/>
          <w:b w:val="0"/>
          <w:bCs/>
          <w:sz w:val="16"/>
          <w:szCs w:val="16"/>
        </w:rPr>
        <w:t>,</w:t>
      </w:r>
      <w:r w:rsidRPr="000B5DC6">
        <w:rPr>
          <w:rFonts w:cstheme="majorBidi"/>
          <w:b w:val="0"/>
          <w:bCs/>
          <w:sz w:val="16"/>
          <w:szCs w:val="16"/>
        </w:rPr>
        <w:t xml:space="preserve">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Gholami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8D1AC3" w:rsidRPr="008D1AC3">
        <w:rPr>
          <w:rFonts w:cstheme="majorBidi"/>
          <w:b w:val="0"/>
          <w:bCs/>
          <w:sz w:val="16"/>
          <w:szCs w:val="16"/>
        </w:rPr>
        <w:t xml:space="preserve"> </w:t>
      </w:r>
      <w:r w:rsidR="008D1AC3" w:rsidRPr="000B5DC6">
        <w:rPr>
          <w:rFonts w:cstheme="majorBidi"/>
          <w:b w:val="0"/>
          <w:bCs/>
          <w:sz w:val="16"/>
          <w:szCs w:val="16"/>
        </w:rPr>
        <w:t>A.</w:t>
      </w:r>
      <w:r w:rsidR="00242E16">
        <w:rPr>
          <w:rFonts w:cstheme="majorBidi"/>
          <w:b w:val="0"/>
          <w:bCs/>
          <w:sz w:val="16"/>
          <w:szCs w:val="16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</w:rPr>
        <w:t>et al. The effect of charge at the surface of silver nanoparticles on antimicrobial activity against gram-positive and gram-negative bacteria: a preliminary study.</w:t>
      </w:r>
      <w:r w:rsidRPr="00D179AE">
        <w:rPr>
          <w:rFonts w:ascii="Palatino" w:hAnsi="Palatino" w:cstheme="majorBidi"/>
          <w:b w:val="0"/>
          <w:bCs/>
          <w:sz w:val="16"/>
          <w:szCs w:val="16"/>
        </w:rPr>
        <w:t xml:space="preserve"> </w:t>
      </w:r>
      <w:r w:rsidR="00D179AE" w:rsidRPr="00D179AE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 xml:space="preserve">J </w:t>
      </w:r>
      <w:proofErr w:type="spellStart"/>
      <w:r w:rsidR="00D179AE" w:rsidRPr="00D179AE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Nanomater</w:t>
      </w:r>
      <w:proofErr w:type="spellEnd"/>
      <w:r w:rsidR="00D179AE" w:rsidRPr="00D179AE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 xml:space="preserve">. </w:t>
      </w:r>
      <w:r w:rsidRPr="000B5DC6">
        <w:rPr>
          <w:rFonts w:cstheme="majorBidi"/>
          <w:b w:val="0"/>
          <w:bCs/>
          <w:sz w:val="16"/>
          <w:szCs w:val="16"/>
        </w:rPr>
        <w:t>2015;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16(1):</w:t>
      </w:r>
      <w:r w:rsidR="00907235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53.</w:t>
      </w:r>
    </w:p>
    <w:p w14:paraId="70270582" w14:textId="1FB2E707" w:rsidR="00C97A6F" w:rsidRPr="000B5DC6" w:rsidRDefault="00873D4A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Ahmad,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N.S.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Abdullah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N.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Yasin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F.M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>.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Pr="000B5DC6">
        <w:rPr>
          <w:rStyle w:val="Strong"/>
          <w:rFonts w:cstheme="majorBidi"/>
          <w:color w:val="000000" w:themeColor="text1"/>
          <w:sz w:val="16"/>
          <w:szCs w:val="16"/>
          <w:shd w:val="clear" w:color="auto" w:fill="FFFFFF"/>
        </w:rPr>
        <w:t>Antifungal activity of titanium dioxide nanoparticles against </w:t>
      </w:r>
      <w:r w:rsidRPr="000B5DC6">
        <w:rPr>
          <w:rStyle w:val="Emphasis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>Candida albicans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. </w:t>
      </w:r>
      <w:r w:rsidRPr="00907235">
        <w:rPr>
          <w:rStyle w:val="Emphasis"/>
          <w:rFonts w:cstheme="majorBidi"/>
          <w:b w:val="0"/>
          <w:bCs/>
          <w:i w:val="0"/>
          <w:iCs w:val="0"/>
          <w:color w:val="000000" w:themeColor="text1"/>
          <w:sz w:val="16"/>
          <w:szCs w:val="16"/>
          <w:shd w:val="clear" w:color="auto" w:fill="FFFFFF"/>
        </w:rPr>
        <w:t>Bio</w:t>
      </w:r>
      <w:r w:rsidR="00907235">
        <w:rPr>
          <w:rStyle w:val="Emphasis"/>
          <w:rFonts w:cstheme="majorBidi"/>
          <w:b w:val="0"/>
          <w:bCs/>
          <w:i w:val="0"/>
          <w:iCs w:val="0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907235">
        <w:rPr>
          <w:rStyle w:val="Emphasis"/>
          <w:rFonts w:cstheme="majorBidi"/>
          <w:b w:val="0"/>
          <w:bCs/>
          <w:i w:val="0"/>
          <w:iCs w:val="0"/>
          <w:color w:val="000000" w:themeColor="text1"/>
          <w:sz w:val="16"/>
          <w:szCs w:val="16"/>
          <w:shd w:val="clear" w:color="auto" w:fill="FFFFFF"/>
        </w:rPr>
        <w:t>Res</w:t>
      </w:r>
      <w:r w:rsidRPr="00907235">
        <w:rPr>
          <w:rFonts w:cstheme="majorBidi"/>
          <w:b w:val="0"/>
          <w:bCs/>
          <w:i/>
          <w:iCs/>
          <w:sz w:val="16"/>
          <w:szCs w:val="16"/>
          <w:shd w:val="clear" w:color="auto" w:fill="FFFFFF"/>
        </w:rPr>
        <w:t>.</w:t>
      </w:r>
      <w:r w:rsidR="00907235">
        <w:rPr>
          <w:rFonts w:cstheme="majorBidi"/>
          <w:b w:val="0"/>
          <w:bCs/>
          <w:i/>
          <w:iCs/>
          <w:sz w:val="16"/>
          <w:szCs w:val="16"/>
          <w:shd w:val="clear" w:color="auto" w:fill="FFFFFF"/>
        </w:rPr>
        <w:t xml:space="preserve"> </w:t>
      </w:r>
      <w:r w:rsidR="00907235">
        <w:rPr>
          <w:rFonts w:cstheme="majorBidi"/>
          <w:b w:val="0"/>
          <w:bCs/>
          <w:sz w:val="16"/>
          <w:szCs w:val="16"/>
          <w:shd w:val="clear" w:color="auto" w:fill="FFFFFF"/>
        </w:rPr>
        <w:t>2019; 14(4):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8866-8878.</w:t>
      </w:r>
    </w:p>
    <w:p w14:paraId="3CF572BF" w14:textId="24EFD45E" w:rsidR="00C97A6F" w:rsidRPr="000B5DC6" w:rsidRDefault="00873D4A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Style w:val="author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>Kermani</w:t>
      </w:r>
      <w:proofErr w:type="spellEnd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7119EA" w:rsidRPr="007119EA">
        <w:rPr>
          <w:rStyle w:val="author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 </w:t>
      </w:r>
      <w:r w:rsidR="007119EA" w:rsidRPr="000B5DC6">
        <w:rPr>
          <w:rStyle w:val="author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>S.A</w:t>
      </w:r>
      <w:r w:rsidR="007119EA">
        <w:rPr>
          <w:rStyle w:val="author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., </w:t>
      </w:r>
      <w:proofErr w:type="spellStart"/>
      <w:r w:rsidRPr="000B5DC6">
        <w:rPr>
          <w:rStyle w:val="author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>Salari</w:t>
      </w:r>
      <w:proofErr w:type="spellEnd"/>
      <w:r w:rsidR="007119EA">
        <w:rPr>
          <w:rStyle w:val="author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,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S.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proofErr w:type="spellStart"/>
      <w:r w:rsidRPr="000B5DC6">
        <w:rPr>
          <w:rStyle w:val="author"/>
          <w:rFonts w:cstheme="majorBidi"/>
          <w:b w:val="0"/>
          <w:bCs/>
          <w:color w:val="000000" w:themeColor="text1"/>
          <w:sz w:val="16"/>
          <w:szCs w:val="16"/>
          <w:shd w:val="clear" w:color="auto" w:fill="FFFFFF"/>
        </w:rPr>
        <w:t>Almani</w:t>
      </w:r>
      <w:proofErr w:type="spellEnd"/>
      <w:r w:rsidR="007119EA">
        <w:rPr>
          <w:rStyle w:val="accordion-tabbedtab-mobile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P.G.N.</w:t>
      </w:r>
      <w:r w:rsidRPr="000B5DC6">
        <w:rPr>
          <w:rStyle w:val="accordion-tabbedtab-mobile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Comparison of antifungal and cytotoxicity activities of titanium dioxide and zinc oxide nanoparticles with amphotericin B against different </w:t>
      </w:r>
      <w:r w:rsidRPr="000B5DC6">
        <w:rPr>
          <w:rFonts w:cstheme="majorBidi"/>
          <w:b w:val="0"/>
          <w:bCs/>
          <w:i/>
          <w:iCs/>
          <w:sz w:val="16"/>
          <w:szCs w:val="16"/>
        </w:rPr>
        <w:t>Candida</w:t>
      </w:r>
      <w:r w:rsidRPr="000B5DC6">
        <w:rPr>
          <w:rFonts w:cstheme="majorBidi"/>
          <w:b w:val="0"/>
          <w:bCs/>
          <w:sz w:val="16"/>
          <w:szCs w:val="16"/>
        </w:rPr>
        <w:t> species: In vitro evaluation</w:t>
      </w:r>
      <w:r w:rsidRPr="000B5DC6">
        <w:rPr>
          <w:rStyle w:val="accordion-tabbedtab-mobile"/>
          <w:rFonts w:cstheme="majorBidi"/>
          <w:b w:val="0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 xml:space="preserve">.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J Clin Lab Anal. 2021;</w:t>
      </w:r>
      <w:r w:rsidR="00907235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35:</w:t>
      </w:r>
      <w:r w:rsidR="00907235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e23577.</w:t>
      </w:r>
    </w:p>
    <w:p w14:paraId="424A5280" w14:textId="5A4BC1F8" w:rsidR="00C97A6F" w:rsidRPr="000B5DC6" w:rsidRDefault="00873D4A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Haghighi</w:t>
      </w:r>
      <w:proofErr w:type="spellEnd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7119EA" w:rsidRP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F.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Mohammadi,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R.S.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Mohammadi,</w:t>
      </w:r>
      <w:r w:rsidR="007119EA" w:rsidRP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P.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>, et al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. Antifungal activity of TiO2 nanoparticles and EDTA on Candida albicans biofilms. Infection, Epidemiology and Microbiology. 2013;</w:t>
      </w:r>
      <w:r w:rsidR="00907235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1(1):</w:t>
      </w:r>
      <w:r w:rsidR="00907235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33-8</w:t>
      </w:r>
    </w:p>
    <w:p w14:paraId="23E9365A" w14:textId="037264A8" w:rsidR="00C97A6F" w:rsidRPr="000B5DC6" w:rsidRDefault="00873D4A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Kamikawa</w:t>
      </w:r>
      <w:proofErr w:type="spellEnd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7119EA" w:rsidRP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Y.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proofErr w:type="spellStart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Hirabayashi</w:t>
      </w:r>
      <w:proofErr w:type="spellEnd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D.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,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Nagayama,</w:t>
      </w:r>
      <w:r w:rsidR="007119EA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T.</w:t>
      </w:r>
      <w:r w:rsidR="00D179AE">
        <w:rPr>
          <w:rFonts w:cstheme="majorBidi"/>
          <w:b w:val="0"/>
          <w:bCs/>
          <w:sz w:val="16"/>
          <w:szCs w:val="16"/>
          <w:shd w:val="clear" w:color="auto" w:fill="FFFFFF"/>
        </w:rPr>
        <w:t>,</w:t>
      </w:r>
      <w:r w:rsidR="007119EA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="00D179AE">
        <w:rPr>
          <w:rFonts w:cstheme="majorBidi"/>
          <w:b w:val="0"/>
          <w:bCs/>
          <w:sz w:val="16"/>
          <w:szCs w:val="16"/>
          <w:shd w:val="clear" w:color="auto" w:fill="FFFFFF"/>
        </w:rPr>
        <w:t>et al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. In vitro antifungal activity against oral Candida species using a denture base coated with silver nanoparticles. </w:t>
      </w:r>
      <w:r w:rsidR="00D179AE" w:rsidRPr="00D179AE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 xml:space="preserve">J </w:t>
      </w:r>
      <w:proofErr w:type="spellStart"/>
      <w:r w:rsidR="00D179AE" w:rsidRPr="00D179AE">
        <w:rPr>
          <w:rFonts w:ascii="Palatino" w:hAnsi="Palatino" w:cs="Arial"/>
          <w:b w:val="0"/>
          <w:bCs/>
          <w:sz w:val="16"/>
          <w:szCs w:val="16"/>
          <w:shd w:val="clear" w:color="auto" w:fill="FFFFFF"/>
        </w:rPr>
        <w:t>Nanomater</w:t>
      </w:r>
      <w:proofErr w:type="spellEnd"/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. 2014;</w:t>
      </w:r>
      <w:r w:rsidR="00D704F9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2014:</w:t>
      </w:r>
      <w:r w:rsidR="00907235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48</w:t>
      </w:r>
      <w:r w:rsidR="00C97A6F"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>.</w:t>
      </w:r>
    </w:p>
    <w:p w14:paraId="03CD6B3B" w14:textId="34EFEBE8" w:rsidR="00C97A6F" w:rsidRPr="000B5DC6" w:rsidRDefault="00873D4A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Manar</w:t>
      </w:r>
      <w:proofErr w:type="spellEnd"/>
      <w:r w:rsidR="007119EA">
        <w:rPr>
          <w:rFonts w:cstheme="majorBidi"/>
          <w:b w:val="0"/>
          <w:bCs/>
          <w:sz w:val="16"/>
          <w:szCs w:val="16"/>
        </w:rPr>
        <w:t>,</w:t>
      </w:r>
      <w:r w:rsidR="007119EA" w:rsidRPr="007119EA">
        <w:rPr>
          <w:rFonts w:cstheme="majorBidi"/>
          <w:b w:val="0"/>
          <w:bCs/>
          <w:sz w:val="16"/>
          <w:szCs w:val="16"/>
        </w:rPr>
        <w:t xml:space="preserve"> </w:t>
      </w:r>
      <w:r w:rsidR="007119EA" w:rsidRPr="000B5DC6">
        <w:rPr>
          <w:rFonts w:cstheme="majorBidi"/>
          <w:b w:val="0"/>
          <w:bCs/>
          <w:sz w:val="16"/>
          <w:szCs w:val="16"/>
        </w:rPr>
        <w:t>J</w:t>
      </w:r>
      <w:r w:rsidRPr="000B5DC6">
        <w:rPr>
          <w:rFonts w:cstheme="majorBidi"/>
          <w:b w:val="0"/>
          <w:bCs/>
          <w:sz w:val="16"/>
          <w:szCs w:val="16"/>
        </w:rPr>
        <w:t>. Alginate as impression material. J Appl Oral Sci. 2018;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4(3):</w:t>
      </w:r>
      <w:r w:rsidR="00D704F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300-3.</w:t>
      </w:r>
    </w:p>
    <w:p w14:paraId="48FA5291" w14:textId="13AB1275" w:rsidR="00C97A6F" w:rsidRPr="000B5DC6" w:rsidRDefault="00873D4A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proofErr w:type="spellStart"/>
      <w:r w:rsidRPr="000B5DC6">
        <w:rPr>
          <w:rFonts w:cstheme="majorBidi"/>
          <w:b w:val="0"/>
          <w:bCs/>
          <w:sz w:val="16"/>
          <w:szCs w:val="16"/>
        </w:rPr>
        <w:t>Omidkhoda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7119EA" w:rsidRPr="007119EA">
        <w:rPr>
          <w:rFonts w:cstheme="majorBidi"/>
          <w:b w:val="0"/>
          <w:bCs/>
          <w:sz w:val="16"/>
          <w:szCs w:val="16"/>
        </w:rPr>
        <w:t xml:space="preserve"> </w:t>
      </w:r>
      <w:r w:rsidR="007119EA" w:rsidRPr="000B5DC6">
        <w:rPr>
          <w:rFonts w:cstheme="majorBidi"/>
          <w:b w:val="0"/>
          <w:bCs/>
          <w:sz w:val="16"/>
          <w:szCs w:val="16"/>
        </w:rPr>
        <w:t>M.</w:t>
      </w:r>
      <w:r w:rsidR="007119EA">
        <w:rPr>
          <w:rFonts w:cstheme="majorBidi"/>
          <w:b w:val="0"/>
          <w:bCs/>
          <w:sz w:val="16"/>
          <w:szCs w:val="16"/>
        </w:rPr>
        <w:t xml:space="preserve">, </w:t>
      </w:r>
      <w:proofErr w:type="spellStart"/>
      <w:r w:rsidRPr="000B5DC6">
        <w:rPr>
          <w:rFonts w:cstheme="majorBidi"/>
          <w:b w:val="0"/>
          <w:bCs/>
          <w:sz w:val="16"/>
          <w:szCs w:val="16"/>
        </w:rPr>
        <w:t>Hasanzadeh</w:t>
      </w:r>
      <w:proofErr w:type="spellEnd"/>
      <w:r w:rsidRPr="000B5DC6">
        <w:rPr>
          <w:rFonts w:cstheme="majorBidi"/>
          <w:b w:val="0"/>
          <w:bCs/>
          <w:sz w:val="16"/>
          <w:szCs w:val="16"/>
        </w:rPr>
        <w:t>,</w:t>
      </w:r>
      <w:r w:rsidR="007119EA" w:rsidRPr="000B5DC6">
        <w:rPr>
          <w:rFonts w:cstheme="majorBidi"/>
          <w:b w:val="0"/>
          <w:bCs/>
          <w:sz w:val="16"/>
          <w:szCs w:val="16"/>
        </w:rPr>
        <w:t xml:space="preserve"> N.</w:t>
      </w:r>
      <w:r w:rsidR="007119EA">
        <w:rPr>
          <w:rFonts w:cstheme="majorBidi"/>
          <w:b w:val="0"/>
          <w:bCs/>
          <w:sz w:val="16"/>
          <w:szCs w:val="16"/>
        </w:rPr>
        <w:t>,</w:t>
      </w:r>
      <w:r w:rsidR="006C7569">
        <w:rPr>
          <w:rFonts w:cstheme="majorBidi"/>
          <w:b w:val="0"/>
          <w:bCs/>
          <w:sz w:val="16"/>
          <w:szCs w:val="16"/>
        </w:rPr>
        <w:t xml:space="preserve"> </w:t>
      </w:r>
      <w:r w:rsidRPr="000B5DC6">
        <w:rPr>
          <w:rFonts w:cstheme="majorBidi"/>
          <w:b w:val="0"/>
          <w:bCs/>
          <w:sz w:val="16"/>
          <w:szCs w:val="16"/>
        </w:rPr>
        <w:t>Soleimani</w:t>
      </w:r>
      <w:r w:rsidR="007119EA">
        <w:rPr>
          <w:rFonts w:cstheme="majorBidi"/>
          <w:b w:val="0"/>
          <w:bCs/>
          <w:sz w:val="16"/>
          <w:szCs w:val="16"/>
        </w:rPr>
        <w:t xml:space="preserve">, </w:t>
      </w:r>
      <w:r w:rsidR="007119EA" w:rsidRPr="000B5DC6">
        <w:rPr>
          <w:rFonts w:cstheme="majorBidi"/>
          <w:b w:val="0"/>
          <w:bCs/>
          <w:sz w:val="16"/>
          <w:szCs w:val="16"/>
        </w:rPr>
        <w:t>F.</w:t>
      </w:r>
      <w:r w:rsidRPr="000B5DC6">
        <w:rPr>
          <w:rFonts w:cstheme="majorBidi"/>
          <w:b w:val="0"/>
          <w:bCs/>
          <w:sz w:val="16"/>
          <w:szCs w:val="16"/>
        </w:rPr>
        <w:t xml:space="preserve"> Antimicrobial and physical properties of alginate impression material incorporated with silver nanoparticles. </w:t>
      </w:r>
      <w:r w:rsidR="00D179AE" w:rsidRPr="00D179AE">
        <w:rPr>
          <w:rFonts w:cstheme="majorBidi"/>
          <w:b w:val="0"/>
          <w:bCs/>
          <w:sz w:val="16"/>
          <w:szCs w:val="16"/>
        </w:rPr>
        <w:t>Dent Res J</w:t>
      </w:r>
      <w:r w:rsidRPr="000B5DC6">
        <w:rPr>
          <w:rFonts w:cstheme="majorBidi"/>
          <w:b w:val="0"/>
          <w:bCs/>
          <w:sz w:val="16"/>
          <w:szCs w:val="16"/>
        </w:rPr>
        <w:t>. 2019; 16(6):</w:t>
      </w:r>
      <w:r w:rsidRPr="000B5DC6">
        <w:rPr>
          <w:rFonts w:cstheme="majorBidi"/>
          <w:b w:val="0"/>
          <w:bCs/>
          <w:sz w:val="16"/>
          <w:szCs w:val="16"/>
          <w:shd w:val="clear" w:color="auto" w:fill="FFFFFF"/>
        </w:rPr>
        <w:t xml:space="preserve"> 372-376.</w:t>
      </w:r>
    </w:p>
    <w:p w14:paraId="304A5CEC" w14:textId="0799003F" w:rsidR="00591CDC" w:rsidRPr="00095604" w:rsidRDefault="00095604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95604">
        <w:rPr>
          <w:rFonts w:cstheme="majorBidi"/>
          <w:b w:val="0"/>
          <w:bCs/>
          <w:sz w:val="16"/>
          <w:szCs w:val="16"/>
        </w:rPr>
        <w:t xml:space="preserve">Watson S, </w:t>
      </w:r>
      <w:proofErr w:type="spellStart"/>
      <w:r w:rsidRPr="00095604">
        <w:rPr>
          <w:rFonts w:cstheme="majorBidi"/>
          <w:b w:val="0"/>
          <w:bCs/>
          <w:sz w:val="16"/>
          <w:szCs w:val="16"/>
        </w:rPr>
        <w:t>Beydoun</w:t>
      </w:r>
      <w:proofErr w:type="spellEnd"/>
      <w:r w:rsidRPr="00095604">
        <w:rPr>
          <w:rFonts w:cstheme="majorBidi"/>
          <w:b w:val="0"/>
          <w:bCs/>
          <w:sz w:val="16"/>
          <w:szCs w:val="16"/>
        </w:rPr>
        <w:t xml:space="preserve"> D, Scott J, </w:t>
      </w:r>
      <w:r w:rsidR="00E239D5">
        <w:rPr>
          <w:rFonts w:cstheme="majorBidi"/>
          <w:b w:val="0"/>
          <w:bCs/>
          <w:sz w:val="16"/>
          <w:szCs w:val="16"/>
        </w:rPr>
        <w:t>et al</w:t>
      </w:r>
      <w:r w:rsidRPr="00095604">
        <w:rPr>
          <w:rFonts w:cstheme="majorBidi"/>
          <w:b w:val="0"/>
          <w:bCs/>
          <w:sz w:val="16"/>
          <w:szCs w:val="16"/>
        </w:rPr>
        <w:t xml:space="preserve">. Preparation of nanosized crystalline </w:t>
      </w:r>
      <w:proofErr w:type="spellStart"/>
      <w:r w:rsidRPr="00095604">
        <w:rPr>
          <w:rFonts w:cstheme="majorBidi"/>
          <w:b w:val="0"/>
          <w:bCs/>
          <w:sz w:val="16"/>
          <w:szCs w:val="16"/>
        </w:rPr>
        <w:t>TiO</w:t>
      </w:r>
      <w:proofErr w:type="spellEnd"/>
      <w:r w:rsidRPr="00095604">
        <w:rPr>
          <w:rFonts w:cstheme="majorBidi"/>
          <w:b w:val="0"/>
          <w:bCs/>
          <w:sz w:val="16"/>
          <w:szCs w:val="16"/>
        </w:rPr>
        <w:t xml:space="preserve"> 2 particles at low temperature for photocatalysis. J. </w:t>
      </w:r>
      <w:proofErr w:type="spellStart"/>
      <w:r w:rsidRPr="00095604">
        <w:rPr>
          <w:rFonts w:cstheme="majorBidi"/>
          <w:b w:val="0"/>
          <w:bCs/>
          <w:sz w:val="16"/>
          <w:szCs w:val="16"/>
        </w:rPr>
        <w:t>Nanopart</w:t>
      </w:r>
      <w:proofErr w:type="spellEnd"/>
      <w:r w:rsidRPr="00095604">
        <w:rPr>
          <w:rFonts w:cstheme="majorBidi"/>
          <w:b w:val="0"/>
          <w:bCs/>
          <w:sz w:val="16"/>
          <w:szCs w:val="16"/>
        </w:rPr>
        <w:t xml:space="preserve"> Res. 2004 Jun;6:193-207.</w:t>
      </w:r>
    </w:p>
    <w:p w14:paraId="70468293" w14:textId="76A5B119" w:rsidR="00E8458D" w:rsidRPr="000B5DC6" w:rsidRDefault="00E8458D" w:rsidP="00362005">
      <w:pPr>
        <w:pStyle w:val="MDPI21heading1"/>
        <w:numPr>
          <w:ilvl w:val="0"/>
          <w:numId w:val="41"/>
        </w:numPr>
        <w:spacing w:line="240" w:lineRule="auto"/>
        <w:ind w:left="720" w:right="476" w:firstLine="0"/>
        <w:rPr>
          <w:b w:val="0"/>
          <w:bCs/>
          <w:color w:val="auto"/>
          <w:sz w:val="16"/>
          <w:szCs w:val="16"/>
        </w:rPr>
      </w:pPr>
      <w:r w:rsidRPr="000B5DC6">
        <w:rPr>
          <w:rFonts w:cstheme="majorBidi"/>
          <w:b w:val="0"/>
          <w:bCs/>
          <w:color w:val="auto"/>
          <w:sz w:val="16"/>
          <w:szCs w:val="16"/>
        </w:rPr>
        <w:t xml:space="preserve">American Dental Association Specification No. 18. </w:t>
      </w:r>
      <w:r w:rsidRPr="000B5DC6">
        <w:rPr>
          <w:rFonts w:cstheme="majorBidi"/>
          <w:b w:val="0"/>
          <w:bCs/>
          <w:color w:val="auto"/>
          <w:sz w:val="16"/>
          <w:szCs w:val="16"/>
          <w:shd w:val="clear" w:color="auto" w:fill="FFFFFF"/>
        </w:rPr>
        <w:t>dental alginate impression materials. 1992.</w:t>
      </w:r>
    </w:p>
    <w:p w14:paraId="122313B4" w14:textId="77777777" w:rsidR="00591CDC" w:rsidRPr="00591CDC" w:rsidRDefault="00591CDC" w:rsidP="00362005">
      <w:pPr>
        <w:pStyle w:val="MDPI21heading1"/>
        <w:spacing w:line="240" w:lineRule="auto"/>
        <w:ind w:left="720" w:right="476" w:firstLine="0"/>
        <w:rPr>
          <w:b w:val="0"/>
          <w:bCs/>
          <w:color w:val="auto"/>
          <w:szCs w:val="20"/>
        </w:rPr>
      </w:pPr>
    </w:p>
    <w:p w14:paraId="3FE23B24" w14:textId="66B79C8E" w:rsidR="00591CDC" w:rsidRPr="000B5DC6" w:rsidRDefault="00591CDC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b w:val="0"/>
          <w:bCs/>
          <w:sz w:val="18"/>
          <w:szCs w:val="18"/>
          <w:lang w:val="en-GB" w:bidi="ar-IQ"/>
        </w:rPr>
      </w:pPr>
      <w:r w:rsidRPr="000B5DC6">
        <w:rPr>
          <w:rFonts w:hint="cs"/>
          <w:b w:val="0"/>
          <w:bCs/>
          <w:sz w:val="18"/>
          <w:szCs w:val="18"/>
          <w:rtl/>
          <w:lang w:val="en-GB" w:bidi="ar-IQ"/>
        </w:rPr>
        <w:t>تأثير إضافة جزيئات ثاني أكسيدالتيتانيوم النانوية على نشاط مضادات الميكروبات ونسخ</w:t>
      </w:r>
      <w:r w:rsidRPr="000B5DC6">
        <w:rPr>
          <w:b w:val="0"/>
          <w:bCs/>
          <w:sz w:val="18"/>
          <w:szCs w:val="18"/>
          <w:lang w:val="en-GB" w:bidi="ar-IQ"/>
        </w:rPr>
        <w:t xml:space="preserve"> </w:t>
      </w:r>
      <w:r w:rsidRPr="000B5DC6">
        <w:rPr>
          <w:rFonts w:hint="cs"/>
          <w:b w:val="0"/>
          <w:bCs/>
          <w:sz w:val="18"/>
          <w:szCs w:val="18"/>
          <w:rtl/>
          <w:lang w:val="en-GB" w:bidi="ar-IQ"/>
        </w:rPr>
        <w:t>تفاصيل السطح</w:t>
      </w:r>
      <w:r w:rsidRPr="000B5DC6">
        <w:rPr>
          <w:b w:val="0"/>
          <w:bCs/>
          <w:sz w:val="18"/>
          <w:szCs w:val="18"/>
          <w:lang w:val="en-GB" w:bidi="ar-IQ"/>
        </w:rPr>
        <w:t xml:space="preserve"> </w:t>
      </w:r>
      <w:r w:rsidRPr="000B5DC6">
        <w:rPr>
          <w:b w:val="0"/>
          <w:bCs/>
          <w:sz w:val="18"/>
          <w:szCs w:val="18"/>
          <w:rtl/>
          <w:lang w:val="en-GB" w:bidi="ar-IQ"/>
        </w:rPr>
        <w:t>لمادة</w:t>
      </w:r>
      <w:r w:rsidRPr="000B5DC6">
        <w:rPr>
          <w:rFonts w:hint="cs"/>
          <w:b w:val="0"/>
          <w:bCs/>
          <w:sz w:val="18"/>
          <w:szCs w:val="18"/>
          <w:rtl/>
          <w:lang w:val="en-GB" w:bidi="ar-IQ"/>
        </w:rPr>
        <w:t xml:space="preserve"> الألجينات السنية</w:t>
      </w:r>
    </w:p>
    <w:p w14:paraId="01DC0CDD" w14:textId="6E6797CE" w:rsidR="00591CDC" w:rsidRPr="000B5DC6" w:rsidRDefault="00591CDC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rFonts w:ascii="Times New Roman" w:hAnsi="Times New Roman"/>
          <w:b w:val="0"/>
          <w:bCs/>
          <w:sz w:val="18"/>
          <w:szCs w:val="18"/>
          <w:vertAlign w:val="superscript"/>
          <w:lang w:val="en-GB" w:bidi="ar-IQ"/>
        </w:rPr>
      </w:pP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lastRenderedPageBreak/>
        <w:t>الباحثون</w:t>
      </w:r>
      <w:r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>: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 xml:space="preserve"> رنج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ازاد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عمر</w:t>
      </w:r>
      <w:r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 xml:space="preserve"> ,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هوشنك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خالد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عبدالرحمن</w:t>
      </w:r>
      <w:r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 xml:space="preserve"> ,</w:t>
      </w:r>
      <w:r w:rsidR="000B5DC6"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سازكار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سربست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قاسم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الحويزي</w:t>
      </w:r>
      <w:r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 xml:space="preserve"> </w:t>
      </w:r>
      <w:r w:rsidR="007E3953"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>,</w:t>
      </w:r>
      <w:r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مهاباد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محمود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صالح</w:t>
      </w:r>
      <w:r w:rsidR="007E3953"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>,</w:t>
      </w:r>
      <w:r w:rsidRPr="000B5DC6">
        <w:rPr>
          <w:rFonts w:ascii="Times New Roman" w:hAnsi="Times New Roman"/>
          <w:b w:val="0"/>
          <w:bCs/>
          <w:sz w:val="18"/>
          <w:szCs w:val="18"/>
          <w:lang w:val="en-GB" w:bidi="ar-IQ"/>
        </w:rPr>
        <w:t xml:space="preserve"> 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فهد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سداد</w:t>
      </w:r>
      <w:r w:rsidRPr="000B5DC6">
        <w:rPr>
          <w:rFonts w:ascii="Times New Roman" w:hAnsi="Times New Roman"/>
          <w:b w:val="0"/>
          <w:bCs/>
          <w:sz w:val="18"/>
          <w:szCs w:val="18"/>
          <w:rtl/>
          <w:lang w:val="en-GB" w:bidi="ar-IQ"/>
        </w:rPr>
        <w:t xml:space="preserve"> </w:t>
      </w:r>
      <w:r w:rsidRPr="000B5DC6">
        <w:rPr>
          <w:rFonts w:ascii="Times New Roman" w:hAnsi="Times New Roman" w:hint="cs"/>
          <w:b w:val="0"/>
          <w:bCs/>
          <w:sz w:val="18"/>
          <w:szCs w:val="18"/>
          <w:rtl/>
          <w:lang w:val="en-GB" w:bidi="ar-IQ"/>
        </w:rPr>
        <w:t>اكرام</w:t>
      </w:r>
    </w:p>
    <w:p w14:paraId="6ADA1C7D" w14:textId="1CD3840B" w:rsidR="004B4DD8" w:rsidRPr="000B5DC6" w:rsidRDefault="007A32DF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b w:val="0"/>
          <w:bCs/>
          <w:sz w:val="18"/>
          <w:szCs w:val="18"/>
          <w:lang w:val="en-GB" w:bidi="ar-IQ"/>
        </w:rPr>
      </w:pPr>
      <w:r w:rsidRPr="000B5DC6">
        <w:rPr>
          <w:rFonts w:hint="cs"/>
          <w:b w:val="0"/>
          <w:bCs/>
          <w:sz w:val="18"/>
          <w:szCs w:val="18"/>
          <w:rtl/>
          <w:lang w:val="en-GB" w:bidi="ar-IQ"/>
        </w:rPr>
        <w:t>المستخلص:</w:t>
      </w:r>
    </w:p>
    <w:p w14:paraId="65039BEF" w14:textId="5B898BD6" w:rsidR="00591CDC" w:rsidRPr="000B5DC6" w:rsidRDefault="00591CDC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rFonts w:ascii="Times New Roman" w:hAnsi="Times New Roman"/>
          <w:sz w:val="18"/>
          <w:szCs w:val="18"/>
          <w:lang w:val="en-GB" w:bidi="ar-IQ"/>
        </w:rPr>
      </w:pPr>
      <w:r w:rsidRPr="000B5DC6">
        <w:rPr>
          <w:rFonts w:ascii="Times New Roman" w:hAnsi="Times New Roman"/>
          <w:sz w:val="18"/>
          <w:szCs w:val="18"/>
          <w:rtl/>
          <w:lang w:val="en-GB" w:bidi="ar-IQ"/>
        </w:rPr>
        <w:t>الخلفية</w:t>
      </w:r>
      <w:r w:rsidRPr="000B5DC6">
        <w:rPr>
          <w:rFonts w:ascii="Times New Roman" w:hAnsi="Times New Roman"/>
          <w:b w:val="0"/>
          <w:sz w:val="18"/>
          <w:szCs w:val="18"/>
          <w:rtl/>
          <w:lang w:val="en-GB"/>
        </w:rPr>
        <w:t xml:space="preserve">: </w:t>
      </w:r>
      <w:r w:rsidR="00D0141B" w:rsidRPr="000B5DC6">
        <w:rPr>
          <w:rFonts w:ascii="Times New Roman" w:hAnsi="Times New Roman"/>
          <w:sz w:val="18"/>
          <w:szCs w:val="18"/>
          <w:rtl/>
          <w:lang w:val="en-GB" w:bidi="ar-IQ"/>
        </w:rPr>
        <w:t>م</w:t>
      </w:r>
      <w:r w:rsidRPr="000B5DC6">
        <w:rPr>
          <w:rFonts w:ascii="Times New Roman" w:hAnsi="Times New Roman"/>
          <w:sz w:val="18"/>
          <w:szCs w:val="18"/>
          <w:rtl/>
          <w:lang w:val="en-GB" w:bidi="ar-IQ"/>
        </w:rPr>
        <w:t>عظ</w:t>
      </w:r>
      <w:r w:rsidR="00D0141B" w:rsidRPr="000B5DC6">
        <w:rPr>
          <w:rFonts w:ascii="Times New Roman" w:hAnsi="Times New Roman"/>
          <w:sz w:val="18"/>
          <w:szCs w:val="18"/>
          <w:rtl/>
          <w:lang w:val="en-GB" w:bidi="ar-IQ"/>
        </w:rPr>
        <w:t>م</w:t>
      </w:r>
      <w:r w:rsidRPr="000B5DC6">
        <w:rPr>
          <w:rFonts w:ascii="Times New Roman" w:hAnsi="Times New Roman"/>
          <w:sz w:val="18"/>
          <w:szCs w:val="18"/>
          <w:rtl/>
          <w:lang w:val="en-GB" w:bidi="ar-IQ"/>
        </w:rPr>
        <w:t xml:space="preserve"> أعمال طب الأسنان تتطلب انطباعًا تشخيصيًا ،الجينات هي المادة المستخدمة</w:t>
      </w:r>
      <w:r w:rsidRPr="000B5DC6">
        <w:rPr>
          <w:rFonts w:ascii="Times New Roman" w:hAnsi="Times New Roman"/>
          <w:sz w:val="18"/>
          <w:szCs w:val="18"/>
          <w:lang w:val="en-GB" w:bidi="ar-IQ"/>
        </w:rPr>
        <w:t xml:space="preserve"> </w:t>
      </w:r>
      <w:r w:rsidRPr="000B5DC6">
        <w:rPr>
          <w:rFonts w:ascii="Times New Roman" w:hAnsi="Times New Roman"/>
          <w:sz w:val="18"/>
          <w:szCs w:val="18"/>
          <w:rtl/>
          <w:lang w:val="en-GB" w:bidi="ar-IQ"/>
        </w:rPr>
        <w:t xml:space="preserve">الأكثر شيوعًا لهذا الغرض. تظهر الجسيمات النانوية لثاني أكسيد التيتانيوم دليلاً على نشاط مضادات الميكروبات في العصر الحديث ، ولهذا الغرض تهدف هذه الدراسة إلى تقييم تأثير إضافة </w:t>
      </w:r>
      <w:r w:rsidRPr="000B5DC6">
        <w:rPr>
          <w:rFonts w:ascii="Times New Roman" w:hAnsi="Times New Roman"/>
          <w:sz w:val="18"/>
          <w:szCs w:val="18"/>
          <w:lang w:val="en-GB" w:bidi="ar-IQ"/>
        </w:rPr>
        <w:t>TiO2NPs</w:t>
      </w:r>
      <w:r w:rsidRPr="000B5DC6">
        <w:rPr>
          <w:rFonts w:ascii="Times New Roman" w:hAnsi="Times New Roman"/>
          <w:sz w:val="18"/>
          <w:szCs w:val="18"/>
          <w:rtl/>
          <w:lang w:val="en-GB" w:bidi="ar-IQ"/>
        </w:rPr>
        <w:t xml:space="preserve"> على النشاط المضاد للميكروبات ونسخ تفاصيل السطح لمادة الانطباع</w:t>
      </w:r>
      <w:r w:rsidRPr="000B5DC6">
        <w:rPr>
          <w:rFonts w:ascii="Times New Roman" w:hAnsi="Times New Roman"/>
          <w:sz w:val="18"/>
          <w:szCs w:val="18"/>
          <w:lang w:val="en-GB" w:bidi="ar-IQ"/>
        </w:rPr>
        <w:t xml:space="preserve"> </w:t>
      </w:r>
      <w:r w:rsidRPr="000B5DC6">
        <w:rPr>
          <w:rFonts w:ascii="Times New Roman" w:hAnsi="Times New Roman"/>
          <w:sz w:val="18"/>
          <w:szCs w:val="18"/>
          <w:rtl/>
          <w:lang w:val="en-GB" w:bidi="ar-IQ"/>
        </w:rPr>
        <w:t>الجينات.</w:t>
      </w:r>
    </w:p>
    <w:p w14:paraId="547053A0" w14:textId="77777777" w:rsidR="00591CDC" w:rsidRPr="000B5DC6" w:rsidRDefault="00591CDC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sz w:val="18"/>
          <w:szCs w:val="18"/>
          <w:lang w:val="en-GB"/>
        </w:rPr>
      </w:pPr>
      <w:r w:rsidRPr="000B5DC6">
        <w:rPr>
          <w:sz w:val="18"/>
          <w:szCs w:val="18"/>
          <w:rtl/>
          <w:lang w:val="en-GB" w:bidi="ar-IQ"/>
        </w:rPr>
        <w:t xml:space="preserve">تمت إضافة </w:t>
      </w:r>
      <w:r w:rsidRPr="000B5DC6">
        <w:rPr>
          <w:sz w:val="18"/>
          <w:szCs w:val="18"/>
          <w:lang w:val="en-GB"/>
        </w:rPr>
        <w:t>TiO2NPs</w:t>
      </w:r>
      <w:r w:rsidRPr="000B5DC6">
        <w:rPr>
          <w:sz w:val="18"/>
          <w:szCs w:val="18"/>
          <w:rtl/>
          <w:lang w:val="en-GB" w:bidi="ar-IQ"/>
        </w:rPr>
        <w:t xml:space="preserve"> </w:t>
      </w:r>
      <w:r w:rsidRPr="000B5DC6">
        <w:rPr>
          <w:sz w:val="18"/>
          <w:szCs w:val="18"/>
          <w:rtl/>
          <w:lang w:val="en-GB" w:bidi="ar"/>
        </w:rPr>
        <w:t>(نقاء = 99٪ ، الحجم = 20 نانومتر) إلى الجينات بثلاث تركيزات مختلفة (2٪ ، 3٪ و 5٪). تم تحضير 84 عينة في المجموع. تم اختبار عينات النشاط المضاد للميكروبات باستخدام اختبار انتشار القرص ، وتم اختباراستنساخ تفاصيل السطح باستخدام</w:t>
      </w:r>
      <w:r w:rsidRPr="000B5DC6">
        <w:rPr>
          <w:sz w:val="18"/>
          <w:szCs w:val="18"/>
          <w:lang w:val="en-GB"/>
        </w:rPr>
        <w:t xml:space="preserve">ISO 21563: 2021 </w:t>
      </w:r>
      <w:r w:rsidRPr="000B5DC6">
        <w:rPr>
          <w:sz w:val="18"/>
          <w:szCs w:val="18"/>
          <w:rtl/>
          <w:lang w:val="en-GB" w:bidi="ar"/>
        </w:rPr>
        <w:t>.</w:t>
      </w:r>
    </w:p>
    <w:p w14:paraId="74450886" w14:textId="77777777" w:rsidR="00591CDC" w:rsidRPr="000B5DC6" w:rsidRDefault="00591CDC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sz w:val="18"/>
          <w:szCs w:val="18"/>
          <w:lang w:val="en-GB"/>
        </w:rPr>
      </w:pPr>
      <w:r w:rsidRPr="000B5DC6">
        <w:rPr>
          <w:sz w:val="18"/>
          <w:szCs w:val="18"/>
          <w:rtl/>
          <w:lang w:val="en-GB" w:bidi="ar"/>
        </w:rPr>
        <w:t xml:space="preserve"> لتحليل البيانات تم استخدام </w:t>
      </w:r>
      <w:r w:rsidRPr="000B5DC6">
        <w:rPr>
          <w:sz w:val="18"/>
          <w:szCs w:val="18"/>
          <w:lang w:val="en-GB"/>
        </w:rPr>
        <w:t>ANOVA</w:t>
      </w:r>
      <w:r w:rsidRPr="000B5DC6">
        <w:rPr>
          <w:sz w:val="18"/>
          <w:szCs w:val="18"/>
          <w:rtl/>
          <w:lang w:val="en-GB" w:bidi="ar"/>
        </w:rPr>
        <w:t xml:space="preserve"> أحادي الاتجاه واختبار </w:t>
      </w:r>
      <w:r w:rsidRPr="000B5DC6">
        <w:rPr>
          <w:sz w:val="18"/>
          <w:szCs w:val="18"/>
          <w:lang w:val="en-GB"/>
        </w:rPr>
        <w:t>t</w:t>
      </w:r>
      <w:r w:rsidRPr="000B5DC6">
        <w:rPr>
          <w:sz w:val="18"/>
          <w:szCs w:val="18"/>
          <w:rtl/>
          <w:lang w:val="en-GB" w:bidi="ar"/>
        </w:rPr>
        <w:t xml:space="preserve"> المستقل من خلال برنامج </w:t>
      </w:r>
      <w:r w:rsidRPr="000B5DC6">
        <w:rPr>
          <w:sz w:val="18"/>
          <w:szCs w:val="18"/>
          <w:lang w:val="en-GB"/>
        </w:rPr>
        <w:t>SPSS</w:t>
      </w:r>
      <w:r w:rsidRPr="000B5DC6">
        <w:rPr>
          <w:sz w:val="18"/>
          <w:szCs w:val="18"/>
          <w:rtl/>
          <w:lang w:val="en-GB" w:bidi="ar"/>
        </w:rPr>
        <w:t>.</w:t>
      </w:r>
    </w:p>
    <w:p w14:paraId="1764EFFF" w14:textId="76376FA7" w:rsidR="00591CDC" w:rsidRPr="000B5DC6" w:rsidRDefault="00591CDC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sz w:val="18"/>
          <w:szCs w:val="18"/>
          <w:lang w:val="en-GB"/>
        </w:rPr>
      </w:pPr>
      <w:r w:rsidRPr="000B5DC6">
        <w:rPr>
          <w:sz w:val="18"/>
          <w:szCs w:val="18"/>
          <w:rtl/>
          <w:lang w:val="en-GB" w:bidi="ar"/>
        </w:rPr>
        <w:t>بالنسبة لاختبار مضادات</w:t>
      </w:r>
      <w:r w:rsidRPr="000B5DC6">
        <w:rPr>
          <w:sz w:val="18"/>
          <w:szCs w:val="18"/>
          <w:lang w:val="en-GB"/>
        </w:rPr>
        <w:t xml:space="preserve"> </w:t>
      </w:r>
      <w:r w:rsidRPr="000B5DC6">
        <w:rPr>
          <w:sz w:val="18"/>
          <w:szCs w:val="18"/>
          <w:rtl/>
          <w:lang w:val="en-GB" w:bidi="ar"/>
        </w:rPr>
        <w:t xml:space="preserve">الميكروبات ،أظهرت مناطق التثبيط للمكورات العقدية الطافرة والمبيضات تغيرات معنوية ذا علاقة بالتغير في تركيزات </w:t>
      </w:r>
      <w:r w:rsidRPr="000B5DC6">
        <w:rPr>
          <w:sz w:val="18"/>
          <w:szCs w:val="18"/>
          <w:lang w:val="en-GB"/>
        </w:rPr>
        <w:t>TiO2NPs</w:t>
      </w:r>
      <w:r w:rsidRPr="000B5DC6">
        <w:rPr>
          <w:sz w:val="18"/>
          <w:szCs w:val="18"/>
          <w:rtl/>
          <w:lang w:val="en-GB" w:bidi="ar"/>
        </w:rPr>
        <w:t xml:space="preserve"> ،وزادت منطقة التثبيط معنويا مع زيادة نسبة </w:t>
      </w:r>
      <w:r w:rsidRPr="000B5DC6">
        <w:rPr>
          <w:sz w:val="18"/>
          <w:szCs w:val="18"/>
          <w:lang w:val="en-GB"/>
        </w:rPr>
        <w:t>TiO2NPs</w:t>
      </w:r>
      <w:r w:rsidRPr="000B5DC6">
        <w:rPr>
          <w:sz w:val="18"/>
          <w:szCs w:val="18"/>
          <w:rtl/>
          <w:lang w:val="en-GB" w:bidi="ar"/>
        </w:rPr>
        <w:t xml:space="preserve">. كان متوسط ​​منطقة التثبيط لـ </w:t>
      </w:r>
      <w:r w:rsidRPr="000B5DC6">
        <w:rPr>
          <w:sz w:val="18"/>
          <w:szCs w:val="18"/>
          <w:lang w:val="en-GB"/>
        </w:rPr>
        <w:t xml:space="preserve">S. </w:t>
      </w:r>
      <w:proofErr w:type="spellStart"/>
      <w:r w:rsidRPr="000B5DC6">
        <w:rPr>
          <w:sz w:val="18"/>
          <w:szCs w:val="18"/>
          <w:lang w:val="en-GB"/>
        </w:rPr>
        <w:t>mutans</w:t>
      </w:r>
      <w:proofErr w:type="spellEnd"/>
      <w:r w:rsidRPr="000B5DC6">
        <w:rPr>
          <w:sz w:val="18"/>
          <w:szCs w:val="18"/>
          <w:rtl/>
          <w:lang w:val="en-GB" w:bidi="ar"/>
        </w:rPr>
        <w:t xml:space="preserve"> أعلى من </w:t>
      </w:r>
      <w:r w:rsidRPr="000B5DC6">
        <w:rPr>
          <w:sz w:val="18"/>
          <w:szCs w:val="18"/>
          <w:lang w:val="en-GB"/>
        </w:rPr>
        <w:t>C. albicans</w:t>
      </w:r>
      <w:r w:rsidRPr="000B5DC6">
        <w:rPr>
          <w:sz w:val="18"/>
          <w:szCs w:val="18"/>
          <w:rtl/>
          <w:lang w:val="en-GB" w:bidi="ar"/>
        </w:rPr>
        <w:t xml:space="preserve"> وكان الاختلاف ذا دلالة إحصائية. فيما يتعلق باستنساخ تفاصيل السطح ، أظهرت المجموعة الضابطة، 2٪ و 3٪ نتائج متشابهة جدًا ، فقط المجموعة التي تمت إضافة 5٪ من </w:t>
      </w:r>
      <w:r w:rsidRPr="000B5DC6">
        <w:rPr>
          <w:sz w:val="18"/>
          <w:szCs w:val="18"/>
          <w:lang w:val="en-GB"/>
        </w:rPr>
        <w:t>TiO2NPs</w:t>
      </w:r>
      <w:r w:rsidRPr="000B5DC6">
        <w:rPr>
          <w:sz w:val="18"/>
          <w:szCs w:val="18"/>
          <w:rtl/>
          <w:lang w:val="en-GB" w:bidi="ar"/>
        </w:rPr>
        <w:t xml:space="preserve"> إليها أظهرت انخفاضًا في استنساخ التفاصيل عند مقارنتها بالمجموعات الثلاث الأخرى.</w:t>
      </w:r>
    </w:p>
    <w:p w14:paraId="1657D218" w14:textId="77777777" w:rsidR="00591CDC" w:rsidRPr="000B5DC6" w:rsidRDefault="00591CDC" w:rsidP="007A32DF">
      <w:pPr>
        <w:pStyle w:val="MDPI21heading1"/>
        <w:tabs>
          <w:tab w:val="right" w:pos="-64"/>
          <w:tab w:val="right" w:pos="206"/>
          <w:tab w:val="right" w:pos="476"/>
        </w:tabs>
        <w:bidi/>
        <w:spacing w:line="240" w:lineRule="auto"/>
        <w:ind w:left="386" w:right="476" w:firstLine="0"/>
        <w:contextualSpacing/>
        <w:rPr>
          <w:rStyle w:val="y2iqfc"/>
          <w:rFonts w:asciiTheme="majorBidi" w:hAnsiTheme="majorBidi" w:cstheme="majorBidi"/>
          <w:color w:val="202124"/>
          <w:sz w:val="18"/>
          <w:szCs w:val="18"/>
          <w:lang w:bidi="ar-SA"/>
        </w:rPr>
      </w:pPr>
      <w:r w:rsidRPr="000B5DC6">
        <w:rPr>
          <w:sz w:val="18"/>
          <w:szCs w:val="18"/>
          <w:rtl/>
          <w:lang w:val="en-GB" w:bidi="ar"/>
        </w:rPr>
        <w:t xml:space="preserve">الخلاصة: ضمن حدود هذه الدراسة ، يمكننا أن نستنتج أن نشاط مضادات الميكروبات ضد </w:t>
      </w:r>
      <w:r w:rsidRPr="000B5DC6">
        <w:rPr>
          <w:sz w:val="18"/>
          <w:szCs w:val="18"/>
          <w:lang w:val="en-GB"/>
        </w:rPr>
        <w:t xml:space="preserve">S </w:t>
      </w:r>
      <w:proofErr w:type="spellStart"/>
      <w:r w:rsidRPr="000B5DC6">
        <w:rPr>
          <w:sz w:val="18"/>
          <w:szCs w:val="18"/>
          <w:lang w:val="en-GB"/>
        </w:rPr>
        <w:t>mutans</w:t>
      </w:r>
      <w:proofErr w:type="spellEnd"/>
      <w:r w:rsidRPr="000B5DC6">
        <w:rPr>
          <w:sz w:val="18"/>
          <w:szCs w:val="18"/>
          <w:rtl/>
          <w:lang w:val="en-GB" w:bidi="ar"/>
        </w:rPr>
        <w:t xml:space="preserve"> و </w:t>
      </w:r>
      <w:r w:rsidRPr="000B5DC6">
        <w:rPr>
          <w:sz w:val="18"/>
          <w:szCs w:val="18"/>
          <w:lang w:val="en-GB"/>
        </w:rPr>
        <w:t>C. albicans</w:t>
      </w:r>
      <w:r w:rsidRPr="000B5DC6">
        <w:rPr>
          <w:sz w:val="18"/>
          <w:szCs w:val="18"/>
          <w:rtl/>
          <w:lang w:val="en-GB" w:bidi="ar"/>
        </w:rPr>
        <w:t xml:space="preserve"> قد زاد بشكل كبير في المجموعات المعدلة ، وكانت هذه الزيادة مرتبطة بشكل مباشر بزيادة تركيز </w:t>
      </w:r>
      <w:r w:rsidRPr="000B5DC6">
        <w:rPr>
          <w:sz w:val="18"/>
          <w:szCs w:val="18"/>
          <w:lang w:val="en-GB"/>
        </w:rPr>
        <w:t>TiO2NPs</w:t>
      </w:r>
      <w:r w:rsidRPr="000B5DC6">
        <w:rPr>
          <w:sz w:val="18"/>
          <w:szCs w:val="18"/>
          <w:rtl/>
          <w:lang w:val="en-GB" w:bidi="ar"/>
        </w:rPr>
        <w:t xml:space="preserve">. في المقابل ، تم تقليل استنساخ تفاصيل السطح عند إضافة 5 ٪ </w:t>
      </w:r>
      <w:r w:rsidRPr="000B5DC6">
        <w:rPr>
          <w:sz w:val="18"/>
          <w:szCs w:val="18"/>
          <w:lang w:val="en-GB"/>
        </w:rPr>
        <w:t>TiO2NPs</w:t>
      </w:r>
      <w:r w:rsidRPr="000B5DC6">
        <w:rPr>
          <w:sz w:val="18"/>
          <w:szCs w:val="18"/>
          <w:rtl/>
          <w:lang w:val="en-GB" w:bidi="ar"/>
        </w:rPr>
        <w:t xml:space="preserve"> إلى الجينات</w:t>
      </w:r>
      <w:r w:rsidRPr="000B5DC6">
        <w:rPr>
          <w:rFonts w:asciiTheme="majorBidi" w:hAnsiTheme="majorBidi" w:cstheme="majorBidi"/>
          <w:color w:val="auto"/>
          <w:sz w:val="18"/>
          <w:szCs w:val="18"/>
          <w:rtl/>
          <w:lang w:bidi="ar"/>
        </w:rPr>
        <w:t>.</w:t>
      </w:r>
    </w:p>
    <w:p w14:paraId="726C4D66" w14:textId="77777777" w:rsidR="00591CDC" w:rsidRDefault="00591CDC" w:rsidP="00591CDC">
      <w:pPr>
        <w:pStyle w:val="MDPI21heading1"/>
        <w:spacing w:line="240" w:lineRule="auto"/>
        <w:ind w:right="476"/>
        <w:jc w:val="right"/>
        <w:rPr>
          <w:rFonts w:cstheme="majorBidi"/>
          <w:b w:val="0"/>
          <w:bCs/>
        </w:rPr>
      </w:pPr>
    </w:p>
    <w:p w14:paraId="17D45370" w14:textId="77777777" w:rsidR="00591CDC" w:rsidRPr="00AD76A1" w:rsidRDefault="00591CDC" w:rsidP="00591CDC">
      <w:pPr>
        <w:pStyle w:val="MDPI21heading1"/>
        <w:spacing w:line="240" w:lineRule="auto"/>
        <w:ind w:right="476"/>
        <w:rPr>
          <w:b w:val="0"/>
          <w:bCs/>
          <w:color w:val="auto"/>
          <w:szCs w:val="20"/>
        </w:rPr>
      </w:pPr>
    </w:p>
    <w:sectPr w:rsidR="00591CDC" w:rsidRPr="00AD76A1" w:rsidSect="00813108">
      <w:headerReference w:type="even" r:id="rId32"/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1906" w:h="16838" w:code="9"/>
      <w:pgMar w:top="706" w:right="720" w:bottom="1080" w:left="720" w:header="360" w:footer="720" w:gutter="0"/>
      <w:pgNumType w:start="36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0415" w14:textId="77777777" w:rsidR="00DB2628" w:rsidRDefault="00DB2628">
      <w:pPr>
        <w:spacing w:line="240" w:lineRule="auto"/>
      </w:pPr>
      <w:r>
        <w:separator/>
      </w:r>
    </w:p>
  </w:endnote>
  <w:endnote w:type="continuationSeparator" w:id="0">
    <w:p w14:paraId="32C1CF4C" w14:textId="77777777" w:rsidR="00DB2628" w:rsidRDefault="00DB2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algun Gothic"/>
    <w:charset w:val="81"/>
    <w:family w:val="swiss"/>
    <w:pitch w:val="default"/>
    <w:sig w:usb0="00000000" w:usb1="09060000" w:usb2="00000010" w:usb3="00000000" w:csb0="0008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429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71D1B" w14:textId="0EE25622" w:rsidR="009000AB" w:rsidRDefault="009000AB" w:rsidP="0084289E">
        <w:pPr>
          <w:pStyle w:val="Footer"/>
          <w:ind w:left="36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2F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A5123C9" w14:textId="77777777" w:rsidR="009000AB" w:rsidRDefault="009000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09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E6E6A" w14:textId="6A5FBC46" w:rsidR="009000AB" w:rsidRDefault="009000AB" w:rsidP="0084289E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DACA44" w14:textId="77777777" w:rsidR="009000AB" w:rsidRDefault="0090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A104" w14:textId="77777777" w:rsidR="00DB2628" w:rsidRDefault="00DB2628">
      <w:pPr>
        <w:spacing w:line="240" w:lineRule="auto"/>
      </w:pPr>
      <w:r>
        <w:separator/>
      </w:r>
    </w:p>
  </w:footnote>
  <w:footnote w:type="continuationSeparator" w:id="0">
    <w:p w14:paraId="0C3D5D1D" w14:textId="77777777" w:rsidR="00DB2628" w:rsidRDefault="00DB2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0895" w14:textId="77777777" w:rsidR="009000AB" w:rsidRDefault="009000AB" w:rsidP="0004400E">
    <w:pPr>
      <w:pStyle w:val="Header"/>
      <w:pBdr>
        <w:bottom w:val="none" w:sz="0" w:space="0" w:color="auto"/>
      </w:pBdr>
    </w:pPr>
  </w:p>
  <w:p w14:paraId="1EF32C03" w14:textId="77777777" w:rsidR="009000AB" w:rsidRDefault="009000AB"/>
  <w:p w14:paraId="574B29F0" w14:textId="77777777" w:rsidR="009000AB" w:rsidRDefault="009000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8CC6" w14:textId="66996C22" w:rsidR="009000AB" w:rsidRPr="006B1EBE" w:rsidRDefault="009000AB" w:rsidP="00C848C6">
    <w:pPr>
      <w:tabs>
        <w:tab w:val="right" w:pos="10466"/>
      </w:tabs>
      <w:spacing w:line="240" w:lineRule="auto"/>
      <w:ind w:left="0" w:right="26" w:firstLine="0"/>
      <w:rPr>
        <w:rFonts w:eastAsia="Times New Roman"/>
        <w:sz w:val="18"/>
        <w:szCs w:val="18"/>
        <w:lang w:val="fr-CH" w:eastAsia="de-DE"/>
      </w:rPr>
    </w:pPr>
    <w:bookmarkStart w:id="8" w:name="_Hlk96967635"/>
    <w:bookmarkStart w:id="9" w:name="_Hlk96967636"/>
    <w:bookmarkStart w:id="10" w:name="_Hlk96967693"/>
    <w:bookmarkStart w:id="11" w:name="_Hlk96967694"/>
    <w:bookmarkStart w:id="12" w:name="_Hlk96967695"/>
    <w:bookmarkStart w:id="13" w:name="_Hlk96967696"/>
    <w:bookmarkStart w:id="14" w:name="_Hlk96967697"/>
    <w:bookmarkStart w:id="15" w:name="_Hlk96967698"/>
    <w:bookmarkStart w:id="16" w:name="_Hlk96967699"/>
    <w:bookmarkStart w:id="17" w:name="_Hlk96967700"/>
    <w:bookmarkStart w:id="18" w:name="_Hlk96967701"/>
    <w:bookmarkStart w:id="19" w:name="_Hlk96967702"/>
    <w:bookmarkStart w:id="20" w:name="_Hlk96967705"/>
    <w:bookmarkStart w:id="21" w:name="_Hlk96967706"/>
    <w:bookmarkStart w:id="22" w:name="_Hlk96967712"/>
    <w:bookmarkStart w:id="23" w:name="_Hlk96967713"/>
    <w:bookmarkStart w:id="24" w:name="_Hlk98458903"/>
    <w:bookmarkStart w:id="25" w:name="_Hlk98458904"/>
    <w:bookmarkStart w:id="26" w:name="_Hlk98458951"/>
    <w:bookmarkStart w:id="27" w:name="_Hlk98458952"/>
    <w:bookmarkStart w:id="28" w:name="_Hlk98458953"/>
    <w:bookmarkStart w:id="29" w:name="_Hlk98458954"/>
    <w:bookmarkStart w:id="30" w:name="_Hlk98458955"/>
    <w:bookmarkStart w:id="31" w:name="_Hlk98458956"/>
    <w:bookmarkStart w:id="32" w:name="_Hlk98458957"/>
    <w:bookmarkStart w:id="33" w:name="_Hlk98458958"/>
    <w:bookmarkStart w:id="34" w:name="_Hlk98458959"/>
    <w:bookmarkStart w:id="35" w:name="_Hlk98458960"/>
    <w:bookmarkStart w:id="36" w:name="_Hlk98458961"/>
    <w:bookmarkStart w:id="37" w:name="_Hlk98458962"/>
    <w:r>
      <w:rPr>
        <w:rFonts w:eastAsia="Times New Roman"/>
        <w:i/>
        <w:iCs/>
        <w:sz w:val="18"/>
        <w:szCs w:val="18"/>
        <w:lang w:val="fr-CH" w:eastAsia="de-DE"/>
      </w:rPr>
      <w:t xml:space="preserve">         J.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 </w:t>
    </w:r>
    <w:proofErr w:type="spellStart"/>
    <w:r w:rsidRPr="006B1EBE">
      <w:rPr>
        <w:rFonts w:eastAsia="Times New Roman"/>
        <w:i/>
        <w:iCs/>
        <w:sz w:val="18"/>
        <w:szCs w:val="18"/>
        <w:lang w:val="fr-CH" w:eastAsia="de-DE"/>
      </w:rPr>
      <w:t>Bagh</w:t>
    </w:r>
    <w:proofErr w:type="spellEnd"/>
    <w:r>
      <w:rPr>
        <w:rFonts w:eastAsia="Times New Roman"/>
        <w:i/>
        <w:iCs/>
        <w:sz w:val="18"/>
        <w:szCs w:val="18"/>
        <w:lang w:val="fr-CH" w:eastAsia="de-DE"/>
      </w:rPr>
      <w:t>. C</w:t>
    </w:r>
    <w:r w:rsidRPr="006B1EBE">
      <w:rPr>
        <w:rFonts w:eastAsia="Times New Roman"/>
        <w:i/>
        <w:iCs/>
        <w:sz w:val="18"/>
        <w:szCs w:val="18"/>
        <w:lang w:val="fr-CH" w:eastAsia="de-DE"/>
      </w:rPr>
      <w:t>oll</w:t>
    </w:r>
    <w:r>
      <w:rPr>
        <w:rFonts w:eastAsia="Times New Roman"/>
        <w:i/>
        <w:iCs/>
        <w:sz w:val="18"/>
        <w:szCs w:val="18"/>
        <w:lang w:val="fr-CH" w:eastAsia="de-DE"/>
      </w:rPr>
      <w:t>.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 Dent</w:t>
    </w:r>
    <w:r>
      <w:rPr>
        <w:rFonts w:eastAsia="Times New Roman"/>
        <w:i/>
        <w:iCs/>
        <w:sz w:val="18"/>
        <w:szCs w:val="18"/>
        <w:lang w:val="fr-CH" w:eastAsia="de-DE"/>
      </w:rPr>
      <w:t xml:space="preserve">. </w:t>
    </w:r>
    <w:r w:rsidRPr="006B1EBE">
      <w:rPr>
        <w:rFonts w:eastAsia="Times New Roman"/>
        <w:i/>
        <w:iCs/>
        <w:sz w:val="18"/>
        <w:szCs w:val="18"/>
        <w:lang w:val="fr-CH" w:eastAsia="de-DE"/>
      </w:rPr>
      <w:t>Vol</w:t>
    </w:r>
    <w:r>
      <w:rPr>
        <w:rFonts w:eastAsia="Times New Roman"/>
        <w:i/>
        <w:iCs/>
        <w:sz w:val="18"/>
        <w:szCs w:val="18"/>
        <w:lang w:val="fr-CH" w:eastAsia="de-DE"/>
      </w:rPr>
      <w:t xml:space="preserve">. </w:t>
    </w:r>
    <w:r w:rsidRPr="006B1EBE">
      <w:rPr>
        <w:rFonts w:eastAsia="Times New Roman"/>
        <w:i/>
        <w:iCs/>
        <w:sz w:val="18"/>
        <w:szCs w:val="18"/>
        <w:lang w:val="fr-CH" w:eastAsia="de-DE"/>
      </w:rPr>
      <w:t>3</w:t>
    </w:r>
    <w:r>
      <w:rPr>
        <w:rFonts w:eastAsia="Times New Roman" w:hint="cs"/>
        <w:i/>
        <w:iCs/>
        <w:sz w:val="18"/>
        <w:szCs w:val="18"/>
        <w:rtl/>
        <w:lang w:val="fr-CH" w:eastAsia="de-DE"/>
      </w:rPr>
      <w:t>5</w:t>
    </w:r>
    <w:r>
      <w:rPr>
        <w:rFonts w:eastAsia="Times New Roman"/>
        <w:i/>
        <w:iCs/>
        <w:sz w:val="18"/>
        <w:szCs w:val="18"/>
        <w:lang w:val="fr-CH" w:eastAsia="de-DE"/>
      </w:rPr>
      <w:t>,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 </w:t>
    </w:r>
    <w:r>
      <w:rPr>
        <w:rFonts w:eastAsia="Times New Roman"/>
        <w:i/>
        <w:iCs/>
        <w:sz w:val="18"/>
        <w:szCs w:val="18"/>
        <w:lang w:val="fr-CH" w:eastAsia="de-DE"/>
      </w:rPr>
      <w:t>N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o. </w:t>
    </w:r>
    <w:r>
      <w:rPr>
        <w:rFonts w:eastAsia="Times New Roman" w:hint="cs"/>
        <w:i/>
        <w:iCs/>
        <w:sz w:val="18"/>
        <w:szCs w:val="18"/>
        <w:rtl/>
        <w:lang w:val="fr-CH" w:eastAsia="de-DE"/>
      </w:rPr>
      <w:t>1</w:t>
    </w:r>
    <w:r>
      <w:rPr>
        <w:rFonts w:eastAsia="Times New Roman"/>
        <w:i/>
        <w:iCs/>
        <w:sz w:val="18"/>
        <w:szCs w:val="18"/>
        <w:lang w:val="fr-CH" w:eastAsia="de-DE"/>
      </w:rPr>
      <w:t>.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 202</w:t>
    </w:r>
    <w:r>
      <w:rPr>
        <w:rFonts w:eastAsia="Times New Roman" w:hint="cs"/>
        <w:i/>
        <w:iCs/>
        <w:sz w:val="18"/>
        <w:szCs w:val="18"/>
        <w:rtl/>
        <w:lang w:val="fr-CH" w:eastAsia="de-DE"/>
      </w:rPr>
      <w:t>3</w:t>
    </w:r>
    <w:r>
      <w:rPr>
        <w:rFonts w:eastAsia="Times New Roman"/>
        <w:i/>
        <w:iCs/>
        <w:sz w:val="18"/>
        <w:szCs w:val="18"/>
        <w:lang w:val="fr-CH" w:eastAsia="de-DE"/>
      </w:rPr>
      <w:t xml:space="preserve">  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                                                        </w:t>
    </w:r>
    <w:r>
      <w:rPr>
        <w:rFonts w:eastAsia="Times New Roman"/>
        <w:i/>
        <w:iCs/>
        <w:sz w:val="18"/>
        <w:szCs w:val="18"/>
        <w:lang w:val="fr-CH" w:eastAsia="de-DE"/>
      </w:rPr>
      <w:t xml:space="preserve">   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   </w:t>
    </w:r>
    <w:r>
      <w:rPr>
        <w:rFonts w:eastAsia="Times New Roman"/>
        <w:i/>
        <w:iCs/>
        <w:sz w:val="18"/>
        <w:szCs w:val="18"/>
        <w:lang w:val="fr-CH" w:eastAsia="de-DE"/>
      </w:rPr>
      <w:t xml:space="preserve">    </w:t>
    </w:r>
    <w:r w:rsidRPr="006B1EBE">
      <w:rPr>
        <w:rFonts w:eastAsia="Times New Roman"/>
        <w:i/>
        <w:iCs/>
        <w:sz w:val="18"/>
        <w:szCs w:val="18"/>
        <w:lang w:val="fr-CH" w:eastAsia="de-DE"/>
      </w:rPr>
      <w:t xml:space="preserve">       </w:t>
    </w:r>
    <w:r>
      <w:rPr>
        <w:rFonts w:eastAsia="Times New Roman"/>
        <w:i/>
        <w:iCs/>
        <w:sz w:val="18"/>
        <w:szCs w:val="18"/>
        <w:lang w:val="fr-CH" w:eastAsia="de-DE"/>
      </w:rPr>
      <w:t xml:space="preserve">  </w:t>
    </w:r>
    <w:r w:rsidRPr="00B22256">
      <w:rPr>
        <w:sz w:val="18"/>
        <w:szCs w:val="18"/>
      </w:rPr>
      <w:t xml:space="preserve">Omer </w:t>
    </w:r>
    <w:r w:rsidRPr="008D2C38">
      <w:rPr>
        <w:i/>
        <w:iCs/>
        <w:sz w:val="18"/>
        <w:szCs w:val="18"/>
      </w:rPr>
      <w:t>et al</w:t>
    </w:r>
  </w:p>
  <w:p w14:paraId="297756AE" w14:textId="77777777" w:rsidR="009000AB" w:rsidRPr="006B1EBE" w:rsidRDefault="009000AB" w:rsidP="006B1EB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ind w:firstLine="0"/>
      <w:jc w:val="left"/>
      <w:rPr>
        <w:sz w:val="16"/>
        <w:lang w:val="fr-CH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1EEB523C" w14:textId="77777777" w:rsidR="009000AB" w:rsidRDefault="009000AB" w:rsidP="009D4A0F">
    <w:pP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A282" w14:textId="7BA3983E" w:rsidR="009000AB" w:rsidRPr="00B22256" w:rsidRDefault="009000AB" w:rsidP="00B22256">
    <w:pPr>
      <w:pBdr>
        <w:bottom w:val="single" w:sz="4" w:space="1" w:color="000000"/>
      </w:pBdr>
      <w:adjustRightInd w:val="0"/>
      <w:snapToGrid w:val="0"/>
      <w:ind w:left="0" w:right="26" w:firstLine="0"/>
      <w:rPr>
        <w:b/>
        <w:bCs/>
      </w:rPr>
    </w:pPr>
    <w:r w:rsidRPr="00637D88">
      <w:rPr>
        <w:b/>
        <w:bCs/>
      </w:rPr>
      <w:t xml:space="preserve">Journal of </w:t>
    </w:r>
    <w:r>
      <w:rPr>
        <w:b/>
        <w:bCs/>
      </w:rPr>
      <w:t>Baghdad</w:t>
    </w:r>
    <w:r w:rsidRPr="00637D88">
      <w:rPr>
        <w:b/>
        <w:bCs/>
      </w:rPr>
      <w:t xml:space="preserve"> College of Dentistry</w:t>
    </w:r>
    <w:r>
      <w:rPr>
        <w:b/>
        <w:bCs/>
      </w:rPr>
      <w:t>,</w:t>
    </w:r>
    <w:r w:rsidRPr="00637D88">
      <w:rPr>
        <w:b/>
        <w:bCs/>
      </w:rPr>
      <w:t xml:space="preserve"> Vol</w:t>
    </w:r>
    <w:r>
      <w:rPr>
        <w:b/>
        <w:bCs/>
      </w:rPr>
      <w:t>.</w:t>
    </w:r>
    <w:r w:rsidRPr="00637D88">
      <w:rPr>
        <w:b/>
        <w:bCs/>
      </w:rPr>
      <w:t xml:space="preserve"> 3</w:t>
    </w:r>
    <w:r>
      <w:rPr>
        <w:rFonts w:hint="cs"/>
        <w:b/>
        <w:bCs/>
        <w:rtl/>
      </w:rPr>
      <w:t>5</w:t>
    </w:r>
    <w:r>
      <w:rPr>
        <w:b/>
        <w:bCs/>
      </w:rPr>
      <w:t>, No</w:t>
    </w:r>
    <w:r w:rsidRPr="00637D88">
      <w:rPr>
        <w:b/>
        <w:bCs/>
      </w:rPr>
      <w:t xml:space="preserve">. </w:t>
    </w:r>
    <w:r>
      <w:rPr>
        <w:rFonts w:hint="cs"/>
        <w:b/>
        <w:bCs/>
        <w:rtl/>
      </w:rPr>
      <w:t>1</w:t>
    </w:r>
    <w:r w:rsidRPr="00637D88">
      <w:rPr>
        <w:b/>
        <w:bCs/>
      </w:rPr>
      <w:t xml:space="preserve"> (202</w:t>
    </w:r>
    <w:r>
      <w:rPr>
        <w:rFonts w:hint="cs"/>
        <w:b/>
        <w:bCs/>
        <w:rtl/>
      </w:rPr>
      <w:t>3</w:t>
    </w:r>
    <w:r w:rsidRPr="00637D88">
      <w:rPr>
        <w:b/>
        <w:bCs/>
      </w:rPr>
      <w:t xml:space="preserve">), ISSN (P): </w:t>
    </w:r>
    <w:r w:rsidRPr="00637D88">
      <w:rPr>
        <w:b/>
        <w:bCs/>
        <w:color w:val="2C3E50"/>
        <w:shd w:val="clear" w:color="auto" w:fill="FFFFFF"/>
      </w:rPr>
      <w:t>1817-1869, ISSN (E): 2311-5270</w:t>
    </w:r>
  </w:p>
  <w:p w14:paraId="5FB8C5CD" w14:textId="77777777" w:rsidR="009000AB" w:rsidRDefault="00900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AEA"/>
    <w:multiLevelType w:val="hybridMultilevel"/>
    <w:tmpl w:val="890AAA68"/>
    <w:lvl w:ilvl="0" w:tplc="F0FC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73B53"/>
    <w:multiLevelType w:val="multilevel"/>
    <w:tmpl w:val="4F10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B5657"/>
    <w:multiLevelType w:val="hybridMultilevel"/>
    <w:tmpl w:val="15B653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55AE5"/>
    <w:multiLevelType w:val="hybridMultilevel"/>
    <w:tmpl w:val="8460E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3190"/>
    <w:multiLevelType w:val="hybridMultilevel"/>
    <w:tmpl w:val="940E7AA4"/>
    <w:lvl w:ilvl="0" w:tplc="2E8A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312A6C"/>
    <w:multiLevelType w:val="multilevel"/>
    <w:tmpl w:val="4C2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23A51A3B"/>
    <w:multiLevelType w:val="hybridMultilevel"/>
    <w:tmpl w:val="248EE364"/>
    <w:lvl w:ilvl="0" w:tplc="51B05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A26A8"/>
    <w:multiLevelType w:val="multilevel"/>
    <w:tmpl w:val="5E5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700AA"/>
    <w:multiLevelType w:val="hybridMultilevel"/>
    <w:tmpl w:val="3BFC8BA2"/>
    <w:lvl w:ilvl="0" w:tplc="0809000F">
      <w:start w:val="1"/>
      <w:numFmt w:val="decimal"/>
      <w:lvlText w:val="%1."/>
      <w:lvlJc w:val="left"/>
      <w:pPr>
        <w:ind w:left="1332" w:hanging="360"/>
      </w:p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5" w15:restartNumberingAfterBreak="0">
    <w:nsid w:val="32F81FB5"/>
    <w:multiLevelType w:val="hybridMultilevel"/>
    <w:tmpl w:val="4686F0B0"/>
    <w:lvl w:ilvl="0" w:tplc="BA20E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250A6"/>
    <w:multiLevelType w:val="hybridMultilevel"/>
    <w:tmpl w:val="C554DB72"/>
    <w:lvl w:ilvl="0" w:tplc="619AA4DA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630B2B"/>
    <w:multiLevelType w:val="hybridMultilevel"/>
    <w:tmpl w:val="5954862C"/>
    <w:lvl w:ilvl="0" w:tplc="BA20E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1" w15:restartNumberingAfterBreak="0">
    <w:nsid w:val="55D8129E"/>
    <w:multiLevelType w:val="hybridMultilevel"/>
    <w:tmpl w:val="ED1CF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D7969"/>
    <w:multiLevelType w:val="hybridMultilevel"/>
    <w:tmpl w:val="29F4E8EA"/>
    <w:lvl w:ilvl="0" w:tplc="33B0559E">
      <w:start w:val="1"/>
      <w:numFmt w:val="decimal"/>
      <w:lvlText w:val="%1."/>
      <w:lvlJc w:val="left"/>
      <w:pPr>
        <w:ind w:left="3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20" w:hanging="360"/>
      </w:pPr>
    </w:lvl>
    <w:lvl w:ilvl="2" w:tplc="0409001B" w:tentative="1">
      <w:start w:val="1"/>
      <w:numFmt w:val="lowerRoman"/>
      <w:lvlText w:val="%3."/>
      <w:lvlJc w:val="right"/>
      <w:pPr>
        <w:ind w:left="4840" w:hanging="180"/>
      </w:pPr>
    </w:lvl>
    <w:lvl w:ilvl="3" w:tplc="0409000F" w:tentative="1">
      <w:start w:val="1"/>
      <w:numFmt w:val="decimal"/>
      <w:lvlText w:val="%4."/>
      <w:lvlJc w:val="left"/>
      <w:pPr>
        <w:ind w:left="5560" w:hanging="360"/>
      </w:pPr>
    </w:lvl>
    <w:lvl w:ilvl="4" w:tplc="04090019" w:tentative="1">
      <w:start w:val="1"/>
      <w:numFmt w:val="lowerLetter"/>
      <w:lvlText w:val="%5."/>
      <w:lvlJc w:val="left"/>
      <w:pPr>
        <w:ind w:left="6280" w:hanging="360"/>
      </w:pPr>
    </w:lvl>
    <w:lvl w:ilvl="5" w:tplc="0409001B" w:tentative="1">
      <w:start w:val="1"/>
      <w:numFmt w:val="lowerRoman"/>
      <w:lvlText w:val="%6."/>
      <w:lvlJc w:val="right"/>
      <w:pPr>
        <w:ind w:left="7000" w:hanging="180"/>
      </w:pPr>
    </w:lvl>
    <w:lvl w:ilvl="6" w:tplc="0409000F" w:tentative="1">
      <w:start w:val="1"/>
      <w:numFmt w:val="decimal"/>
      <w:lvlText w:val="%7."/>
      <w:lvlJc w:val="left"/>
      <w:pPr>
        <w:ind w:left="7720" w:hanging="360"/>
      </w:pPr>
    </w:lvl>
    <w:lvl w:ilvl="7" w:tplc="04090019" w:tentative="1">
      <w:start w:val="1"/>
      <w:numFmt w:val="lowerLetter"/>
      <w:lvlText w:val="%8."/>
      <w:lvlJc w:val="left"/>
      <w:pPr>
        <w:ind w:left="8440" w:hanging="360"/>
      </w:pPr>
    </w:lvl>
    <w:lvl w:ilvl="8" w:tplc="0409001B" w:tentative="1">
      <w:start w:val="1"/>
      <w:numFmt w:val="lowerRoman"/>
      <w:lvlText w:val="%9."/>
      <w:lvlJc w:val="right"/>
      <w:pPr>
        <w:ind w:left="9160" w:hanging="180"/>
      </w:pPr>
    </w:lvl>
  </w:abstractNum>
  <w:abstractNum w:abstractNumId="23" w15:restartNumberingAfterBreak="0">
    <w:nsid w:val="584359B2"/>
    <w:multiLevelType w:val="hybridMultilevel"/>
    <w:tmpl w:val="896C958E"/>
    <w:lvl w:ilvl="0" w:tplc="0809000F">
      <w:start w:val="1"/>
      <w:numFmt w:val="decimal"/>
      <w:lvlText w:val="%1."/>
      <w:lvlJc w:val="left"/>
      <w:pPr>
        <w:ind w:left="2059" w:hanging="360"/>
      </w:pPr>
    </w:lvl>
    <w:lvl w:ilvl="1" w:tplc="08090019" w:tentative="1">
      <w:start w:val="1"/>
      <w:numFmt w:val="lowerLetter"/>
      <w:lvlText w:val="%2."/>
      <w:lvlJc w:val="left"/>
      <w:pPr>
        <w:ind w:left="2779" w:hanging="360"/>
      </w:pPr>
    </w:lvl>
    <w:lvl w:ilvl="2" w:tplc="0809001B" w:tentative="1">
      <w:start w:val="1"/>
      <w:numFmt w:val="lowerRoman"/>
      <w:lvlText w:val="%3."/>
      <w:lvlJc w:val="right"/>
      <w:pPr>
        <w:ind w:left="3499" w:hanging="180"/>
      </w:pPr>
    </w:lvl>
    <w:lvl w:ilvl="3" w:tplc="0809000F" w:tentative="1">
      <w:start w:val="1"/>
      <w:numFmt w:val="decimal"/>
      <w:lvlText w:val="%4."/>
      <w:lvlJc w:val="left"/>
      <w:pPr>
        <w:ind w:left="4219" w:hanging="360"/>
      </w:pPr>
    </w:lvl>
    <w:lvl w:ilvl="4" w:tplc="08090019" w:tentative="1">
      <w:start w:val="1"/>
      <w:numFmt w:val="lowerLetter"/>
      <w:lvlText w:val="%5."/>
      <w:lvlJc w:val="left"/>
      <w:pPr>
        <w:ind w:left="4939" w:hanging="360"/>
      </w:pPr>
    </w:lvl>
    <w:lvl w:ilvl="5" w:tplc="0809001B" w:tentative="1">
      <w:start w:val="1"/>
      <w:numFmt w:val="lowerRoman"/>
      <w:lvlText w:val="%6."/>
      <w:lvlJc w:val="right"/>
      <w:pPr>
        <w:ind w:left="5659" w:hanging="180"/>
      </w:pPr>
    </w:lvl>
    <w:lvl w:ilvl="6" w:tplc="0809000F" w:tentative="1">
      <w:start w:val="1"/>
      <w:numFmt w:val="decimal"/>
      <w:lvlText w:val="%7."/>
      <w:lvlJc w:val="left"/>
      <w:pPr>
        <w:ind w:left="6379" w:hanging="360"/>
      </w:pPr>
    </w:lvl>
    <w:lvl w:ilvl="7" w:tplc="08090019" w:tentative="1">
      <w:start w:val="1"/>
      <w:numFmt w:val="lowerLetter"/>
      <w:lvlText w:val="%8."/>
      <w:lvlJc w:val="left"/>
      <w:pPr>
        <w:ind w:left="7099" w:hanging="360"/>
      </w:pPr>
    </w:lvl>
    <w:lvl w:ilvl="8" w:tplc="08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4" w15:restartNumberingAfterBreak="0">
    <w:nsid w:val="6D7E4425"/>
    <w:multiLevelType w:val="hybridMultilevel"/>
    <w:tmpl w:val="F15E21B8"/>
    <w:lvl w:ilvl="0" w:tplc="8C065AFC">
      <w:start w:val="1"/>
      <w:numFmt w:val="decimal"/>
      <w:lvlText w:val="%1"/>
      <w:lvlJc w:val="left"/>
      <w:pPr>
        <w:ind w:left="2968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67757"/>
    <w:multiLevelType w:val="hybridMultilevel"/>
    <w:tmpl w:val="9886E73E"/>
    <w:lvl w:ilvl="0" w:tplc="382681EC">
      <w:start w:val="1"/>
      <w:numFmt w:val="decimal"/>
      <w:lvlText w:val="%1."/>
      <w:lvlJc w:val="left"/>
      <w:pPr>
        <w:ind w:left="3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0" w:hanging="360"/>
      </w:pPr>
    </w:lvl>
    <w:lvl w:ilvl="2" w:tplc="0409001B" w:tentative="1">
      <w:start w:val="1"/>
      <w:numFmt w:val="lowerRoman"/>
      <w:lvlText w:val="%3."/>
      <w:lvlJc w:val="right"/>
      <w:pPr>
        <w:ind w:left="4840" w:hanging="180"/>
      </w:pPr>
    </w:lvl>
    <w:lvl w:ilvl="3" w:tplc="0409000F" w:tentative="1">
      <w:start w:val="1"/>
      <w:numFmt w:val="decimal"/>
      <w:lvlText w:val="%4."/>
      <w:lvlJc w:val="left"/>
      <w:pPr>
        <w:ind w:left="5560" w:hanging="360"/>
      </w:pPr>
    </w:lvl>
    <w:lvl w:ilvl="4" w:tplc="04090019" w:tentative="1">
      <w:start w:val="1"/>
      <w:numFmt w:val="lowerLetter"/>
      <w:lvlText w:val="%5."/>
      <w:lvlJc w:val="left"/>
      <w:pPr>
        <w:ind w:left="6280" w:hanging="360"/>
      </w:pPr>
    </w:lvl>
    <w:lvl w:ilvl="5" w:tplc="0409001B" w:tentative="1">
      <w:start w:val="1"/>
      <w:numFmt w:val="lowerRoman"/>
      <w:lvlText w:val="%6."/>
      <w:lvlJc w:val="right"/>
      <w:pPr>
        <w:ind w:left="7000" w:hanging="180"/>
      </w:pPr>
    </w:lvl>
    <w:lvl w:ilvl="6" w:tplc="0409000F" w:tentative="1">
      <w:start w:val="1"/>
      <w:numFmt w:val="decimal"/>
      <w:lvlText w:val="%7."/>
      <w:lvlJc w:val="left"/>
      <w:pPr>
        <w:ind w:left="7720" w:hanging="360"/>
      </w:pPr>
    </w:lvl>
    <w:lvl w:ilvl="7" w:tplc="04090019" w:tentative="1">
      <w:start w:val="1"/>
      <w:numFmt w:val="lowerLetter"/>
      <w:lvlText w:val="%8."/>
      <w:lvlJc w:val="left"/>
      <w:pPr>
        <w:ind w:left="8440" w:hanging="360"/>
      </w:pPr>
    </w:lvl>
    <w:lvl w:ilvl="8" w:tplc="0409001B" w:tentative="1">
      <w:start w:val="1"/>
      <w:numFmt w:val="lowerRoman"/>
      <w:lvlText w:val="%9."/>
      <w:lvlJc w:val="right"/>
      <w:pPr>
        <w:ind w:left="9160" w:hanging="180"/>
      </w:pPr>
    </w:lvl>
  </w:abstractNum>
  <w:abstractNum w:abstractNumId="28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9" w15:restartNumberingAfterBreak="0">
    <w:nsid w:val="76D23307"/>
    <w:multiLevelType w:val="multilevel"/>
    <w:tmpl w:val="8C5E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05955"/>
    <w:multiLevelType w:val="hybridMultilevel"/>
    <w:tmpl w:val="08AAD8C6"/>
    <w:lvl w:ilvl="0" w:tplc="95C8AB9C">
      <w:start w:val="1"/>
      <w:numFmt w:val="decimal"/>
      <w:lvlText w:val="(%1)"/>
      <w:lvlJc w:val="left"/>
      <w:pPr>
        <w:ind w:left="9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7C2154B6"/>
    <w:multiLevelType w:val="hybridMultilevel"/>
    <w:tmpl w:val="FA843A70"/>
    <w:lvl w:ilvl="0" w:tplc="7892D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8"/>
  </w:num>
  <w:num w:numId="8">
    <w:abstractNumId w:val="20"/>
  </w:num>
  <w:num w:numId="9">
    <w:abstractNumId w:val="8"/>
  </w:num>
  <w:num w:numId="10">
    <w:abstractNumId w:val="20"/>
  </w:num>
  <w:num w:numId="11">
    <w:abstractNumId w:val="8"/>
  </w:num>
  <w:num w:numId="12">
    <w:abstractNumId w:val="26"/>
  </w:num>
  <w:num w:numId="13">
    <w:abstractNumId w:val="20"/>
  </w:num>
  <w:num w:numId="14">
    <w:abstractNumId w:va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9"/>
  </w:num>
  <w:num w:numId="20">
    <w:abstractNumId w:val="6"/>
  </w:num>
  <w:num w:numId="21">
    <w:abstractNumId w:val="20"/>
  </w:num>
  <w:num w:numId="22">
    <w:abstractNumId w:val="8"/>
  </w:num>
  <w:num w:numId="23">
    <w:abstractNumId w:val="6"/>
  </w:num>
  <w:num w:numId="24">
    <w:abstractNumId w:val="7"/>
  </w:num>
  <w:num w:numId="25">
    <w:abstractNumId w:val="28"/>
  </w:num>
  <w:num w:numId="26">
    <w:abstractNumId w:val="25"/>
  </w:num>
  <w:num w:numId="27">
    <w:abstractNumId w:val="14"/>
  </w:num>
  <w:num w:numId="28">
    <w:abstractNumId w:val="30"/>
  </w:num>
  <w:num w:numId="29">
    <w:abstractNumId w:val="23"/>
  </w:num>
  <w:num w:numId="30">
    <w:abstractNumId w:val="16"/>
  </w:num>
  <w:num w:numId="31">
    <w:abstractNumId w:val="4"/>
  </w:num>
  <w:num w:numId="32">
    <w:abstractNumId w:val="22"/>
  </w:num>
  <w:num w:numId="33">
    <w:abstractNumId w:val="9"/>
  </w:num>
  <w:num w:numId="34">
    <w:abstractNumId w:val="27"/>
  </w:num>
  <w:num w:numId="35">
    <w:abstractNumId w:val="31"/>
  </w:num>
  <w:num w:numId="36">
    <w:abstractNumId w:val="0"/>
  </w:num>
  <w:num w:numId="37">
    <w:abstractNumId w:val="2"/>
  </w:num>
  <w:num w:numId="38">
    <w:abstractNumId w:val="24"/>
  </w:num>
  <w:num w:numId="39">
    <w:abstractNumId w:val="3"/>
  </w:num>
  <w:num w:numId="40">
    <w:abstractNumId w:val="21"/>
  </w:num>
  <w:num w:numId="41">
    <w:abstractNumId w:val="18"/>
  </w:num>
  <w:num w:numId="42">
    <w:abstractNumId w:val="15"/>
  </w:num>
  <w:num w:numId="43">
    <w:abstractNumId w:val="1"/>
  </w:num>
  <w:num w:numId="44">
    <w:abstractNumId w:val="5"/>
  </w:num>
  <w:num w:numId="45">
    <w:abstractNumId w:val="1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0NbMwMrY0tjQxMbFU0lEKTi0uzszPAykwrAUAZirVl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100F6"/>
    <w:rsid w:val="00004DCE"/>
    <w:rsid w:val="000073D9"/>
    <w:rsid w:val="0001033D"/>
    <w:rsid w:val="00012055"/>
    <w:rsid w:val="00017800"/>
    <w:rsid w:val="000348D8"/>
    <w:rsid w:val="00035B2B"/>
    <w:rsid w:val="00035FC3"/>
    <w:rsid w:val="00042AF8"/>
    <w:rsid w:val="0004400E"/>
    <w:rsid w:val="00044C0A"/>
    <w:rsid w:val="0004721A"/>
    <w:rsid w:val="00053EBF"/>
    <w:rsid w:val="00061265"/>
    <w:rsid w:val="000635C7"/>
    <w:rsid w:val="00070155"/>
    <w:rsid w:val="00071368"/>
    <w:rsid w:val="00075EE5"/>
    <w:rsid w:val="00076BBA"/>
    <w:rsid w:val="00082999"/>
    <w:rsid w:val="0008794C"/>
    <w:rsid w:val="00087FFA"/>
    <w:rsid w:val="0009213F"/>
    <w:rsid w:val="000928E1"/>
    <w:rsid w:val="00095604"/>
    <w:rsid w:val="000A0F93"/>
    <w:rsid w:val="000A2729"/>
    <w:rsid w:val="000A641D"/>
    <w:rsid w:val="000B1F19"/>
    <w:rsid w:val="000B5171"/>
    <w:rsid w:val="000B5A5B"/>
    <w:rsid w:val="000B5DC6"/>
    <w:rsid w:val="000B74CE"/>
    <w:rsid w:val="000B79DC"/>
    <w:rsid w:val="000C0289"/>
    <w:rsid w:val="000C151B"/>
    <w:rsid w:val="000C2465"/>
    <w:rsid w:val="000C504E"/>
    <w:rsid w:val="000C6E8E"/>
    <w:rsid w:val="000D1C00"/>
    <w:rsid w:val="000E0D41"/>
    <w:rsid w:val="000E529B"/>
    <w:rsid w:val="000E598C"/>
    <w:rsid w:val="000E734B"/>
    <w:rsid w:val="00102F3D"/>
    <w:rsid w:val="00103322"/>
    <w:rsid w:val="00113EB7"/>
    <w:rsid w:val="00114A2F"/>
    <w:rsid w:val="00120C0D"/>
    <w:rsid w:val="00121D31"/>
    <w:rsid w:val="00123A57"/>
    <w:rsid w:val="00124EBB"/>
    <w:rsid w:val="00124ED2"/>
    <w:rsid w:val="00127A75"/>
    <w:rsid w:val="00127D69"/>
    <w:rsid w:val="0013333D"/>
    <w:rsid w:val="00140011"/>
    <w:rsid w:val="00144467"/>
    <w:rsid w:val="001454B6"/>
    <w:rsid w:val="0016006D"/>
    <w:rsid w:val="00160609"/>
    <w:rsid w:val="001668F2"/>
    <w:rsid w:val="00176B92"/>
    <w:rsid w:val="001A1DB9"/>
    <w:rsid w:val="001A1E76"/>
    <w:rsid w:val="001A7D79"/>
    <w:rsid w:val="001B2A4A"/>
    <w:rsid w:val="001B382A"/>
    <w:rsid w:val="001B519D"/>
    <w:rsid w:val="001C2FDB"/>
    <w:rsid w:val="001D1F06"/>
    <w:rsid w:val="001D349C"/>
    <w:rsid w:val="001D3CBF"/>
    <w:rsid w:val="001D4D23"/>
    <w:rsid w:val="001D72F5"/>
    <w:rsid w:val="001E1926"/>
    <w:rsid w:val="001E21C3"/>
    <w:rsid w:val="001E2AEB"/>
    <w:rsid w:val="001E2D00"/>
    <w:rsid w:val="001E3C52"/>
    <w:rsid w:val="001E4A07"/>
    <w:rsid w:val="001F6C28"/>
    <w:rsid w:val="0020081E"/>
    <w:rsid w:val="00203E5C"/>
    <w:rsid w:val="00206E5C"/>
    <w:rsid w:val="00210A39"/>
    <w:rsid w:val="00211F69"/>
    <w:rsid w:val="0021217E"/>
    <w:rsid w:val="002146F4"/>
    <w:rsid w:val="002169CF"/>
    <w:rsid w:val="002223FC"/>
    <w:rsid w:val="002365C9"/>
    <w:rsid w:val="00240486"/>
    <w:rsid w:val="00241C1C"/>
    <w:rsid w:val="00242E16"/>
    <w:rsid w:val="002552DB"/>
    <w:rsid w:val="00255B19"/>
    <w:rsid w:val="0025732F"/>
    <w:rsid w:val="00266625"/>
    <w:rsid w:val="002758A0"/>
    <w:rsid w:val="00283F2F"/>
    <w:rsid w:val="00296E46"/>
    <w:rsid w:val="002A19CA"/>
    <w:rsid w:val="002A4617"/>
    <w:rsid w:val="002B47DD"/>
    <w:rsid w:val="002C29CF"/>
    <w:rsid w:val="002C6050"/>
    <w:rsid w:val="002C67A8"/>
    <w:rsid w:val="002D150E"/>
    <w:rsid w:val="002D211A"/>
    <w:rsid w:val="002D2607"/>
    <w:rsid w:val="002D4307"/>
    <w:rsid w:val="002E255F"/>
    <w:rsid w:val="002E2EA4"/>
    <w:rsid w:val="002E38DC"/>
    <w:rsid w:val="002F5F7E"/>
    <w:rsid w:val="003040E0"/>
    <w:rsid w:val="00306A75"/>
    <w:rsid w:val="003116B5"/>
    <w:rsid w:val="00317C5E"/>
    <w:rsid w:val="00320CC8"/>
    <w:rsid w:val="00324292"/>
    <w:rsid w:val="00326141"/>
    <w:rsid w:val="0032692D"/>
    <w:rsid w:val="003318B5"/>
    <w:rsid w:val="003341B1"/>
    <w:rsid w:val="00334A17"/>
    <w:rsid w:val="00336D9C"/>
    <w:rsid w:val="00337DF4"/>
    <w:rsid w:val="003438C4"/>
    <w:rsid w:val="00347723"/>
    <w:rsid w:val="00357E10"/>
    <w:rsid w:val="00357FC2"/>
    <w:rsid w:val="00362005"/>
    <w:rsid w:val="00367A41"/>
    <w:rsid w:val="00370EC8"/>
    <w:rsid w:val="0037663E"/>
    <w:rsid w:val="0037766B"/>
    <w:rsid w:val="00377F4F"/>
    <w:rsid w:val="003851E5"/>
    <w:rsid w:val="00387BC6"/>
    <w:rsid w:val="00390725"/>
    <w:rsid w:val="003970F0"/>
    <w:rsid w:val="003A01C0"/>
    <w:rsid w:val="003A0FD1"/>
    <w:rsid w:val="003A15E9"/>
    <w:rsid w:val="003A791E"/>
    <w:rsid w:val="003B7C96"/>
    <w:rsid w:val="003C111A"/>
    <w:rsid w:val="003C1264"/>
    <w:rsid w:val="003D0CD9"/>
    <w:rsid w:val="003D3232"/>
    <w:rsid w:val="003D6292"/>
    <w:rsid w:val="003D77FB"/>
    <w:rsid w:val="003D7A95"/>
    <w:rsid w:val="003E012D"/>
    <w:rsid w:val="003E12C7"/>
    <w:rsid w:val="003E1F4E"/>
    <w:rsid w:val="003E39B1"/>
    <w:rsid w:val="003F0E95"/>
    <w:rsid w:val="003F1497"/>
    <w:rsid w:val="003F2EF1"/>
    <w:rsid w:val="003F4E99"/>
    <w:rsid w:val="00401D30"/>
    <w:rsid w:val="00403379"/>
    <w:rsid w:val="00403EDC"/>
    <w:rsid w:val="004069E8"/>
    <w:rsid w:val="00407F0D"/>
    <w:rsid w:val="00412466"/>
    <w:rsid w:val="0041581F"/>
    <w:rsid w:val="00421963"/>
    <w:rsid w:val="004246E0"/>
    <w:rsid w:val="004272A6"/>
    <w:rsid w:val="00430537"/>
    <w:rsid w:val="00430A34"/>
    <w:rsid w:val="00430B80"/>
    <w:rsid w:val="004340C2"/>
    <w:rsid w:val="00443AAF"/>
    <w:rsid w:val="004445C3"/>
    <w:rsid w:val="004504C9"/>
    <w:rsid w:val="004505CF"/>
    <w:rsid w:val="004531CE"/>
    <w:rsid w:val="00461D9A"/>
    <w:rsid w:val="00464E4A"/>
    <w:rsid w:val="004669B4"/>
    <w:rsid w:val="0046725B"/>
    <w:rsid w:val="00471F5A"/>
    <w:rsid w:val="00475043"/>
    <w:rsid w:val="00480749"/>
    <w:rsid w:val="00481F4C"/>
    <w:rsid w:val="00482948"/>
    <w:rsid w:val="004842CE"/>
    <w:rsid w:val="004A046F"/>
    <w:rsid w:val="004A0E39"/>
    <w:rsid w:val="004A46FD"/>
    <w:rsid w:val="004A7842"/>
    <w:rsid w:val="004B4DD8"/>
    <w:rsid w:val="004B75C0"/>
    <w:rsid w:val="004C0749"/>
    <w:rsid w:val="004D3B65"/>
    <w:rsid w:val="004D4834"/>
    <w:rsid w:val="004D4A46"/>
    <w:rsid w:val="004E1378"/>
    <w:rsid w:val="004E39B0"/>
    <w:rsid w:val="004E476D"/>
    <w:rsid w:val="004F103F"/>
    <w:rsid w:val="004F143E"/>
    <w:rsid w:val="004F1C24"/>
    <w:rsid w:val="004F300D"/>
    <w:rsid w:val="004F50A4"/>
    <w:rsid w:val="00501D0F"/>
    <w:rsid w:val="0050305E"/>
    <w:rsid w:val="00504796"/>
    <w:rsid w:val="00506BC0"/>
    <w:rsid w:val="005112B9"/>
    <w:rsid w:val="00513F61"/>
    <w:rsid w:val="00514E2D"/>
    <w:rsid w:val="0051540B"/>
    <w:rsid w:val="00526025"/>
    <w:rsid w:val="00527186"/>
    <w:rsid w:val="005316A1"/>
    <w:rsid w:val="0053256F"/>
    <w:rsid w:val="00532EFC"/>
    <w:rsid w:val="005332CC"/>
    <w:rsid w:val="00557B4B"/>
    <w:rsid w:val="00562123"/>
    <w:rsid w:val="005664C6"/>
    <w:rsid w:val="00566843"/>
    <w:rsid w:val="005747E0"/>
    <w:rsid w:val="0057755B"/>
    <w:rsid w:val="00580EC0"/>
    <w:rsid w:val="00583B57"/>
    <w:rsid w:val="00587419"/>
    <w:rsid w:val="00587F52"/>
    <w:rsid w:val="00591CDC"/>
    <w:rsid w:val="00594EC5"/>
    <w:rsid w:val="005956FC"/>
    <w:rsid w:val="005959CD"/>
    <w:rsid w:val="005B07D1"/>
    <w:rsid w:val="005B6005"/>
    <w:rsid w:val="005C5DE8"/>
    <w:rsid w:val="005F4EB9"/>
    <w:rsid w:val="00602EE8"/>
    <w:rsid w:val="00605718"/>
    <w:rsid w:val="00606DEF"/>
    <w:rsid w:val="006100F6"/>
    <w:rsid w:val="0061659F"/>
    <w:rsid w:val="006171F2"/>
    <w:rsid w:val="006205C4"/>
    <w:rsid w:val="00622EFD"/>
    <w:rsid w:val="006255F6"/>
    <w:rsid w:val="00631303"/>
    <w:rsid w:val="00635A89"/>
    <w:rsid w:val="00637D88"/>
    <w:rsid w:val="00641B70"/>
    <w:rsid w:val="00645D18"/>
    <w:rsid w:val="00646BFC"/>
    <w:rsid w:val="0065560B"/>
    <w:rsid w:val="00660C41"/>
    <w:rsid w:val="006613D9"/>
    <w:rsid w:val="006664F1"/>
    <w:rsid w:val="00666C02"/>
    <w:rsid w:val="006803D3"/>
    <w:rsid w:val="00681446"/>
    <w:rsid w:val="0068381A"/>
    <w:rsid w:val="0068597C"/>
    <w:rsid w:val="00686D0C"/>
    <w:rsid w:val="00690D22"/>
    <w:rsid w:val="00691777"/>
    <w:rsid w:val="00691A07"/>
    <w:rsid w:val="00692393"/>
    <w:rsid w:val="00694CF0"/>
    <w:rsid w:val="00695834"/>
    <w:rsid w:val="006A4032"/>
    <w:rsid w:val="006A70F3"/>
    <w:rsid w:val="006A74F9"/>
    <w:rsid w:val="006A7F35"/>
    <w:rsid w:val="006B1EBE"/>
    <w:rsid w:val="006C6DB8"/>
    <w:rsid w:val="006C6DC0"/>
    <w:rsid w:val="006C7569"/>
    <w:rsid w:val="006D4EDC"/>
    <w:rsid w:val="006D7D99"/>
    <w:rsid w:val="006E0FC1"/>
    <w:rsid w:val="006E2872"/>
    <w:rsid w:val="006E4175"/>
    <w:rsid w:val="006E521A"/>
    <w:rsid w:val="006E7284"/>
    <w:rsid w:val="006F0529"/>
    <w:rsid w:val="00701ED9"/>
    <w:rsid w:val="007037BE"/>
    <w:rsid w:val="0071190B"/>
    <w:rsid w:val="007119EA"/>
    <w:rsid w:val="0071323C"/>
    <w:rsid w:val="00714F44"/>
    <w:rsid w:val="00721CCD"/>
    <w:rsid w:val="00722347"/>
    <w:rsid w:val="007254EC"/>
    <w:rsid w:val="007271CD"/>
    <w:rsid w:val="00733E9F"/>
    <w:rsid w:val="007345C9"/>
    <w:rsid w:val="00747F36"/>
    <w:rsid w:val="00753DCD"/>
    <w:rsid w:val="007579C7"/>
    <w:rsid w:val="007608D5"/>
    <w:rsid w:val="00761221"/>
    <w:rsid w:val="00762525"/>
    <w:rsid w:val="007648D8"/>
    <w:rsid w:val="00774738"/>
    <w:rsid w:val="00783A42"/>
    <w:rsid w:val="007922F1"/>
    <w:rsid w:val="00792DC7"/>
    <w:rsid w:val="00797AB1"/>
    <w:rsid w:val="007A32DF"/>
    <w:rsid w:val="007A7A66"/>
    <w:rsid w:val="007C021F"/>
    <w:rsid w:val="007C4E14"/>
    <w:rsid w:val="007C794B"/>
    <w:rsid w:val="007D0ABE"/>
    <w:rsid w:val="007E3953"/>
    <w:rsid w:val="007F7DDA"/>
    <w:rsid w:val="0080219F"/>
    <w:rsid w:val="00804595"/>
    <w:rsid w:val="00806FDB"/>
    <w:rsid w:val="008126F3"/>
    <w:rsid w:val="00813108"/>
    <w:rsid w:val="008145DC"/>
    <w:rsid w:val="008247E3"/>
    <w:rsid w:val="0082500C"/>
    <w:rsid w:val="00826F0D"/>
    <w:rsid w:val="008277C2"/>
    <w:rsid w:val="00833909"/>
    <w:rsid w:val="0084289E"/>
    <w:rsid w:val="00843AAF"/>
    <w:rsid w:val="008474ED"/>
    <w:rsid w:val="0085547A"/>
    <w:rsid w:val="00862B31"/>
    <w:rsid w:val="008669FB"/>
    <w:rsid w:val="00873D4A"/>
    <w:rsid w:val="008760ED"/>
    <w:rsid w:val="00876512"/>
    <w:rsid w:val="008804BE"/>
    <w:rsid w:val="00884408"/>
    <w:rsid w:val="00887C01"/>
    <w:rsid w:val="00893408"/>
    <w:rsid w:val="008961BE"/>
    <w:rsid w:val="008964E6"/>
    <w:rsid w:val="008A3D4D"/>
    <w:rsid w:val="008A6A6A"/>
    <w:rsid w:val="008B3811"/>
    <w:rsid w:val="008B6A2E"/>
    <w:rsid w:val="008C1897"/>
    <w:rsid w:val="008D1AC3"/>
    <w:rsid w:val="008D69AF"/>
    <w:rsid w:val="008E79B4"/>
    <w:rsid w:val="008F2594"/>
    <w:rsid w:val="008F274D"/>
    <w:rsid w:val="008F29DC"/>
    <w:rsid w:val="008F70ED"/>
    <w:rsid w:val="009000AB"/>
    <w:rsid w:val="00907235"/>
    <w:rsid w:val="00911F22"/>
    <w:rsid w:val="009146C5"/>
    <w:rsid w:val="009161FF"/>
    <w:rsid w:val="00920CB0"/>
    <w:rsid w:val="009267E3"/>
    <w:rsid w:val="00932521"/>
    <w:rsid w:val="00937978"/>
    <w:rsid w:val="00950AC7"/>
    <w:rsid w:val="00952149"/>
    <w:rsid w:val="00970904"/>
    <w:rsid w:val="00972DB2"/>
    <w:rsid w:val="009742FD"/>
    <w:rsid w:val="00980941"/>
    <w:rsid w:val="009844D4"/>
    <w:rsid w:val="0098478A"/>
    <w:rsid w:val="009861B8"/>
    <w:rsid w:val="00987866"/>
    <w:rsid w:val="0099215E"/>
    <w:rsid w:val="00993114"/>
    <w:rsid w:val="009A7262"/>
    <w:rsid w:val="009A7A40"/>
    <w:rsid w:val="009B03AF"/>
    <w:rsid w:val="009B2BBA"/>
    <w:rsid w:val="009B54F4"/>
    <w:rsid w:val="009B551E"/>
    <w:rsid w:val="009C01FB"/>
    <w:rsid w:val="009C1F04"/>
    <w:rsid w:val="009D4A0F"/>
    <w:rsid w:val="009E25A1"/>
    <w:rsid w:val="009F45B4"/>
    <w:rsid w:val="009F5C65"/>
    <w:rsid w:val="009F70E6"/>
    <w:rsid w:val="00A00ADB"/>
    <w:rsid w:val="00A14701"/>
    <w:rsid w:val="00A15FF4"/>
    <w:rsid w:val="00A1712D"/>
    <w:rsid w:val="00A228ED"/>
    <w:rsid w:val="00A24869"/>
    <w:rsid w:val="00A27EEC"/>
    <w:rsid w:val="00A370A1"/>
    <w:rsid w:val="00A4109E"/>
    <w:rsid w:val="00A46898"/>
    <w:rsid w:val="00A512A1"/>
    <w:rsid w:val="00A55AB9"/>
    <w:rsid w:val="00A563F4"/>
    <w:rsid w:val="00A56FF8"/>
    <w:rsid w:val="00A57863"/>
    <w:rsid w:val="00A61C05"/>
    <w:rsid w:val="00A62565"/>
    <w:rsid w:val="00A63475"/>
    <w:rsid w:val="00A65FB0"/>
    <w:rsid w:val="00A80457"/>
    <w:rsid w:val="00A8104C"/>
    <w:rsid w:val="00A852BC"/>
    <w:rsid w:val="00A90C5B"/>
    <w:rsid w:val="00AA1BD0"/>
    <w:rsid w:val="00AA34F6"/>
    <w:rsid w:val="00AA43C4"/>
    <w:rsid w:val="00AB0686"/>
    <w:rsid w:val="00AB4D5E"/>
    <w:rsid w:val="00AB5AEE"/>
    <w:rsid w:val="00AC0491"/>
    <w:rsid w:val="00AC455A"/>
    <w:rsid w:val="00AD4C2D"/>
    <w:rsid w:val="00AD4C85"/>
    <w:rsid w:val="00AD6E6D"/>
    <w:rsid w:val="00AD7138"/>
    <w:rsid w:val="00AD76A1"/>
    <w:rsid w:val="00AD78A8"/>
    <w:rsid w:val="00AF6F02"/>
    <w:rsid w:val="00AF78DE"/>
    <w:rsid w:val="00B03E84"/>
    <w:rsid w:val="00B05206"/>
    <w:rsid w:val="00B1368D"/>
    <w:rsid w:val="00B22256"/>
    <w:rsid w:val="00B22E26"/>
    <w:rsid w:val="00B275D0"/>
    <w:rsid w:val="00B31C04"/>
    <w:rsid w:val="00B33A29"/>
    <w:rsid w:val="00B35541"/>
    <w:rsid w:val="00B377C4"/>
    <w:rsid w:val="00B42790"/>
    <w:rsid w:val="00B46F24"/>
    <w:rsid w:val="00B47634"/>
    <w:rsid w:val="00B47E3F"/>
    <w:rsid w:val="00B560CB"/>
    <w:rsid w:val="00B57D10"/>
    <w:rsid w:val="00B60928"/>
    <w:rsid w:val="00B622F2"/>
    <w:rsid w:val="00B719E6"/>
    <w:rsid w:val="00B72696"/>
    <w:rsid w:val="00B75D33"/>
    <w:rsid w:val="00B778C0"/>
    <w:rsid w:val="00B8061C"/>
    <w:rsid w:val="00B83DBD"/>
    <w:rsid w:val="00B875CD"/>
    <w:rsid w:val="00B87A05"/>
    <w:rsid w:val="00B93109"/>
    <w:rsid w:val="00BA3271"/>
    <w:rsid w:val="00BA391F"/>
    <w:rsid w:val="00BA4025"/>
    <w:rsid w:val="00BA4953"/>
    <w:rsid w:val="00BB23E4"/>
    <w:rsid w:val="00BB2B49"/>
    <w:rsid w:val="00BB7573"/>
    <w:rsid w:val="00BC1778"/>
    <w:rsid w:val="00BC74C5"/>
    <w:rsid w:val="00BD16DF"/>
    <w:rsid w:val="00BE1384"/>
    <w:rsid w:val="00BE2474"/>
    <w:rsid w:val="00BE6C3E"/>
    <w:rsid w:val="00BF28DF"/>
    <w:rsid w:val="00BF6C0D"/>
    <w:rsid w:val="00C010CF"/>
    <w:rsid w:val="00C02ECD"/>
    <w:rsid w:val="00C030A9"/>
    <w:rsid w:val="00C04825"/>
    <w:rsid w:val="00C04E6D"/>
    <w:rsid w:val="00C16DD7"/>
    <w:rsid w:val="00C26D22"/>
    <w:rsid w:val="00C56631"/>
    <w:rsid w:val="00C56EC0"/>
    <w:rsid w:val="00C60411"/>
    <w:rsid w:val="00C6755B"/>
    <w:rsid w:val="00C74A27"/>
    <w:rsid w:val="00C77081"/>
    <w:rsid w:val="00C81DD6"/>
    <w:rsid w:val="00C848C6"/>
    <w:rsid w:val="00C86F84"/>
    <w:rsid w:val="00C956CE"/>
    <w:rsid w:val="00C9794C"/>
    <w:rsid w:val="00C97A6F"/>
    <w:rsid w:val="00CB6112"/>
    <w:rsid w:val="00CC0AEA"/>
    <w:rsid w:val="00CC7AAB"/>
    <w:rsid w:val="00CD2368"/>
    <w:rsid w:val="00CD4A3B"/>
    <w:rsid w:val="00CD54D3"/>
    <w:rsid w:val="00CE4114"/>
    <w:rsid w:val="00CE4479"/>
    <w:rsid w:val="00D0095D"/>
    <w:rsid w:val="00D0141B"/>
    <w:rsid w:val="00D0163A"/>
    <w:rsid w:val="00D022CE"/>
    <w:rsid w:val="00D111EB"/>
    <w:rsid w:val="00D15FD7"/>
    <w:rsid w:val="00D179AE"/>
    <w:rsid w:val="00D251C2"/>
    <w:rsid w:val="00D25577"/>
    <w:rsid w:val="00D26D8B"/>
    <w:rsid w:val="00D36B79"/>
    <w:rsid w:val="00D47B14"/>
    <w:rsid w:val="00D50350"/>
    <w:rsid w:val="00D60533"/>
    <w:rsid w:val="00D62ED5"/>
    <w:rsid w:val="00D6511A"/>
    <w:rsid w:val="00D66AB8"/>
    <w:rsid w:val="00D67B78"/>
    <w:rsid w:val="00D704F9"/>
    <w:rsid w:val="00D70816"/>
    <w:rsid w:val="00D71C11"/>
    <w:rsid w:val="00D7208E"/>
    <w:rsid w:val="00D73620"/>
    <w:rsid w:val="00D7608C"/>
    <w:rsid w:val="00D76D2F"/>
    <w:rsid w:val="00D806A9"/>
    <w:rsid w:val="00D83505"/>
    <w:rsid w:val="00D84D2E"/>
    <w:rsid w:val="00D862A1"/>
    <w:rsid w:val="00D87B89"/>
    <w:rsid w:val="00D91C50"/>
    <w:rsid w:val="00D947AE"/>
    <w:rsid w:val="00DA042D"/>
    <w:rsid w:val="00DA6AE2"/>
    <w:rsid w:val="00DA7B4E"/>
    <w:rsid w:val="00DB2628"/>
    <w:rsid w:val="00DB274E"/>
    <w:rsid w:val="00DD1E48"/>
    <w:rsid w:val="00DD289B"/>
    <w:rsid w:val="00DD330C"/>
    <w:rsid w:val="00DD46EE"/>
    <w:rsid w:val="00DE07DE"/>
    <w:rsid w:val="00DE1EEB"/>
    <w:rsid w:val="00DE1FFF"/>
    <w:rsid w:val="00DE228F"/>
    <w:rsid w:val="00DF1823"/>
    <w:rsid w:val="00DF6D85"/>
    <w:rsid w:val="00DF71DF"/>
    <w:rsid w:val="00E00793"/>
    <w:rsid w:val="00E01FBA"/>
    <w:rsid w:val="00E03F44"/>
    <w:rsid w:val="00E14912"/>
    <w:rsid w:val="00E17581"/>
    <w:rsid w:val="00E20009"/>
    <w:rsid w:val="00E2141E"/>
    <w:rsid w:val="00E239D5"/>
    <w:rsid w:val="00E26A84"/>
    <w:rsid w:val="00E40942"/>
    <w:rsid w:val="00E52E54"/>
    <w:rsid w:val="00E53385"/>
    <w:rsid w:val="00E60116"/>
    <w:rsid w:val="00E634EB"/>
    <w:rsid w:val="00E71E4C"/>
    <w:rsid w:val="00E759D3"/>
    <w:rsid w:val="00E760EC"/>
    <w:rsid w:val="00E81963"/>
    <w:rsid w:val="00E82DCF"/>
    <w:rsid w:val="00E8311E"/>
    <w:rsid w:val="00E8458D"/>
    <w:rsid w:val="00E84E17"/>
    <w:rsid w:val="00E9617E"/>
    <w:rsid w:val="00EA4AEA"/>
    <w:rsid w:val="00EA591D"/>
    <w:rsid w:val="00EA6902"/>
    <w:rsid w:val="00EA77C5"/>
    <w:rsid w:val="00EB11E4"/>
    <w:rsid w:val="00EB5D41"/>
    <w:rsid w:val="00EC23EC"/>
    <w:rsid w:val="00ED69CE"/>
    <w:rsid w:val="00EE175F"/>
    <w:rsid w:val="00EF311E"/>
    <w:rsid w:val="00EF3E40"/>
    <w:rsid w:val="00F05155"/>
    <w:rsid w:val="00F05B9C"/>
    <w:rsid w:val="00F061B1"/>
    <w:rsid w:val="00F10117"/>
    <w:rsid w:val="00F1193E"/>
    <w:rsid w:val="00F1450C"/>
    <w:rsid w:val="00F1669E"/>
    <w:rsid w:val="00F168F4"/>
    <w:rsid w:val="00F16E08"/>
    <w:rsid w:val="00F1795B"/>
    <w:rsid w:val="00F23204"/>
    <w:rsid w:val="00F246F5"/>
    <w:rsid w:val="00F251F8"/>
    <w:rsid w:val="00F26997"/>
    <w:rsid w:val="00F26ECB"/>
    <w:rsid w:val="00F278E8"/>
    <w:rsid w:val="00F316E9"/>
    <w:rsid w:val="00F335BE"/>
    <w:rsid w:val="00F34CD0"/>
    <w:rsid w:val="00F42807"/>
    <w:rsid w:val="00F45E33"/>
    <w:rsid w:val="00F53109"/>
    <w:rsid w:val="00F54E21"/>
    <w:rsid w:val="00F56A6C"/>
    <w:rsid w:val="00F57FA0"/>
    <w:rsid w:val="00F6017E"/>
    <w:rsid w:val="00F62D94"/>
    <w:rsid w:val="00F72EAE"/>
    <w:rsid w:val="00F76B54"/>
    <w:rsid w:val="00F8065D"/>
    <w:rsid w:val="00F8583D"/>
    <w:rsid w:val="00F879E4"/>
    <w:rsid w:val="00F91974"/>
    <w:rsid w:val="00F91B84"/>
    <w:rsid w:val="00F941C5"/>
    <w:rsid w:val="00F959A8"/>
    <w:rsid w:val="00F95D96"/>
    <w:rsid w:val="00FB2638"/>
    <w:rsid w:val="00FB3B7E"/>
    <w:rsid w:val="00FB3D3D"/>
    <w:rsid w:val="00FB7625"/>
    <w:rsid w:val="00FC0D80"/>
    <w:rsid w:val="00FC3455"/>
    <w:rsid w:val="00FC39AC"/>
    <w:rsid w:val="00FC7435"/>
    <w:rsid w:val="00FD698E"/>
    <w:rsid w:val="00FD7706"/>
    <w:rsid w:val="00FE4249"/>
    <w:rsid w:val="00FE68E8"/>
    <w:rsid w:val="00FE74D7"/>
    <w:rsid w:val="00FF1613"/>
    <w:rsid w:val="00FF20E9"/>
    <w:rsid w:val="00FF45D7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74123"/>
  <w15:docId w15:val="{83D291EC-A392-41E3-9537-0D421C1A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>
      <w:pPr>
        <w:spacing w:line="228" w:lineRule="auto"/>
        <w:ind w:left="720" w:right="475"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02"/>
    <w:rPr>
      <w:rFonts w:ascii="Palatino Linotype" w:hAnsi="Palatino Linotype"/>
      <w:color w:val="00000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0A2729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A69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A69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A69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6902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69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link w:val="MDPI17abstractChar"/>
    <w:qFormat/>
    <w:rsid w:val="00EA6902"/>
    <w:pPr>
      <w:adjustRightInd w:val="0"/>
      <w:snapToGrid w:val="0"/>
      <w:spacing w:before="240" w:line="260" w:lineRule="atLeast"/>
      <w:ind w:left="2608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A6902"/>
    <w:pPr>
      <w:adjustRightInd w:val="0"/>
      <w:snapToGrid w:val="0"/>
      <w:spacing w:before="240" w:line="260" w:lineRule="atLeast"/>
      <w:ind w:left="2608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A690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Footer">
    <w:name w:val="footer"/>
    <w:basedOn w:val="Normal"/>
    <w:link w:val="FooterChar"/>
    <w:uiPriority w:val="99"/>
    <w:rsid w:val="00EA690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A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A6902"/>
    <w:pPr>
      <w:adjustRightInd w:val="0"/>
      <w:snapToGrid w:val="0"/>
      <w:spacing w:line="260" w:lineRule="atLeast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A6902"/>
    <w:pPr>
      <w:ind w:firstLine="0"/>
    </w:pPr>
  </w:style>
  <w:style w:type="paragraph" w:customStyle="1" w:styleId="MDPI31text">
    <w:name w:val="MDPI_3.1_text"/>
    <w:qFormat/>
    <w:rsid w:val="00E53385"/>
    <w:pPr>
      <w:adjustRightInd w:val="0"/>
      <w:snapToGrid w:val="0"/>
      <w:ind w:left="2608" w:firstLine="425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A6902"/>
    <w:pPr>
      <w:adjustRightInd w:val="0"/>
      <w:snapToGrid w:val="0"/>
      <w:spacing w:after="240"/>
      <w:ind w:left="2608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A6902"/>
    <w:pPr>
      <w:adjustRightInd w:val="0"/>
      <w:snapToGrid w:val="0"/>
      <w:spacing w:before="240"/>
      <w:ind w:left="2608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A6902"/>
    <w:pPr>
      <w:adjustRightInd w:val="0"/>
      <w:snapToGrid w:val="0"/>
      <w:ind w:left="2608" w:firstLine="425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A6902"/>
    <w:pPr>
      <w:adjustRightInd w:val="0"/>
      <w:snapToGrid w:val="0"/>
      <w:spacing w:before="120"/>
      <w:ind w:left="2608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332CC"/>
    <w:pPr>
      <w:numPr>
        <w:numId w:val="25"/>
      </w:numPr>
      <w:adjustRightInd w:val="0"/>
      <w:snapToGrid w:val="0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332CC"/>
    <w:pPr>
      <w:numPr>
        <w:numId w:val="23"/>
      </w:numPr>
      <w:adjustRightInd w:val="0"/>
      <w:snapToGrid w:val="0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A69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A69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A6902"/>
    <w:pPr>
      <w:adjustRightInd w:val="0"/>
      <w:snapToGrid w:val="0"/>
      <w:spacing w:before="240" w:after="120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A6902"/>
    <w:pPr>
      <w:adjustRightInd w:val="0"/>
      <w:snapToGrid w:val="0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A6902"/>
    <w:pPr>
      <w:adjustRightInd w:val="0"/>
      <w:snapToGrid w:val="0"/>
      <w:spacing w:before="120" w:after="240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A69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A6902"/>
    <w:pPr>
      <w:adjustRightInd w:val="0"/>
      <w:snapToGrid w:val="0"/>
      <w:ind w:left="2608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A6902"/>
    <w:pPr>
      <w:adjustRightInd w:val="0"/>
      <w:snapToGrid w:val="0"/>
      <w:ind w:left="2608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EA69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A6902"/>
    <w:pPr>
      <w:adjustRightInd w:val="0"/>
      <w:snapToGrid w:val="0"/>
      <w:spacing w:before="60" w:after="60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A6902"/>
    <w:pPr>
      <w:adjustRightInd w:val="0"/>
      <w:snapToGrid w:val="0"/>
      <w:spacing w:before="240" w:after="60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A6902"/>
    <w:pPr>
      <w:adjustRightInd w:val="0"/>
      <w:snapToGrid w:val="0"/>
      <w:spacing w:before="60" w:after="60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1540B"/>
    <w:pPr>
      <w:numPr>
        <w:numId w:val="26"/>
      </w:numPr>
      <w:adjustRightInd w:val="0"/>
      <w:snapToGrid w:val="0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A690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A690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9B55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A690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A690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65F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6902"/>
    <w:pPr>
      <w:spacing w:line="260" w:lineRule="atLeast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A69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A6902"/>
    <w:pPr>
      <w:adjustRightInd w:val="0"/>
      <w:snapToGrid w:val="0"/>
      <w:spacing w:after="120"/>
      <w:ind w:left="2608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A6902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C86F8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A6902"/>
    <w:pPr>
      <w:spacing w:before="240" w:line="260" w:lineRule="atLeast"/>
      <w:ind w:left="113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A690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EA69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A69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A69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A6902"/>
    <w:pPr>
      <w:adjustRightInd w:val="0"/>
      <w:snapToGrid w:val="0"/>
      <w:spacing w:after="240" w:line="260" w:lineRule="atLeast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A690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A69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A690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6902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A6902"/>
    <w:pPr>
      <w:adjustRightInd w:val="0"/>
      <w:snapToGrid w:val="0"/>
      <w:spacing w:after="240" w:line="26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A6902"/>
  </w:style>
  <w:style w:type="paragraph" w:styleId="Bibliography">
    <w:name w:val="Bibliography"/>
    <w:basedOn w:val="Normal"/>
    <w:next w:val="Normal"/>
    <w:uiPriority w:val="37"/>
    <w:semiHidden/>
    <w:unhideWhenUsed/>
    <w:rsid w:val="00EA6902"/>
  </w:style>
  <w:style w:type="paragraph" w:styleId="BodyText">
    <w:name w:val="Body Text"/>
    <w:link w:val="BodyTextChar"/>
    <w:rsid w:val="00EA6902"/>
    <w:pPr>
      <w:spacing w:after="120" w:line="340" w:lineRule="atLeast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A690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A6902"/>
    <w:rPr>
      <w:sz w:val="21"/>
      <w:szCs w:val="21"/>
    </w:rPr>
  </w:style>
  <w:style w:type="paragraph" w:styleId="CommentText">
    <w:name w:val="annotation text"/>
    <w:basedOn w:val="Normal"/>
    <w:link w:val="CommentTextChar"/>
    <w:rsid w:val="00EA6902"/>
  </w:style>
  <w:style w:type="character" w:customStyle="1" w:styleId="CommentTextChar">
    <w:name w:val="Comment Text Char"/>
    <w:link w:val="CommentText"/>
    <w:rsid w:val="00EA690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A6902"/>
    <w:rPr>
      <w:b/>
      <w:bCs/>
    </w:rPr>
  </w:style>
  <w:style w:type="character" w:customStyle="1" w:styleId="CommentSubjectChar">
    <w:name w:val="Comment Subject Char"/>
    <w:link w:val="CommentSubject"/>
    <w:rsid w:val="00EA690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A69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A690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A6902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A690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A690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A690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A6902"/>
    <w:rPr>
      <w:szCs w:val="24"/>
    </w:rPr>
  </w:style>
  <w:style w:type="paragraph" w:customStyle="1" w:styleId="MsoFootnoteText0">
    <w:name w:val="MsoFootnoteText"/>
    <w:basedOn w:val="NormalWeb"/>
    <w:qFormat/>
    <w:rsid w:val="00EA6902"/>
    <w:rPr>
      <w:rFonts w:ascii="Times New Roman" w:hAnsi="Times New Roman"/>
    </w:rPr>
  </w:style>
  <w:style w:type="character" w:styleId="PageNumber">
    <w:name w:val="page number"/>
    <w:rsid w:val="00EA6902"/>
  </w:style>
  <w:style w:type="character" w:styleId="PlaceholderText">
    <w:name w:val="Placeholder Text"/>
    <w:uiPriority w:val="99"/>
    <w:semiHidden/>
    <w:rsid w:val="00EA6902"/>
    <w:rPr>
      <w:color w:val="808080"/>
    </w:rPr>
  </w:style>
  <w:style w:type="paragraph" w:customStyle="1" w:styleId="MDPI71FootNotes">
    <w:name w:val="MDPI_7.1_FootNotes"/>
    <w:qFormat/>
    <w:rsid w:val="00211F69"/>
    <w:pPr>
      <w:numPr>
        <w:numId w:val="24"/>
      </w:numPr>
      <w:adjustRightInd w:val="0"/>
      <w:snapToGrid w:val="0"/>
    </w:pPr>
    <w:rPr>
      <w:rFonts w:ascii="Palatino Linotype" w:eastAsiaTheme="minorEastAsia" w:hAnsi="Palatino Linotype"/>
      <w:noProof/>
      <w:color w:val="000000"/>
      <w:sz w:val="18"/>
    </w:rPr>
  </w:style>
  <w:style w:type="table" w:customStyle="1" w:styleId="ListTable6Colorful1">
    <w:name w:val="List Table 6 Colorful1"/>
    <w:basedOn w:val="TableNormal"/>
    <w:uiPriority w:val="51"/>
    <w:rsid w:val="007037BE"/>
    <w:pPr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10">
    <w:name w:val="List Table 6 Colorful1"/>
    <w:basedOn w:val="TableNormal"/>
    <w:uiPriority w:val="51"/>
    <w:rsid w:val="00826F0D"/>
    <w:pPr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KTACOPY">
    <w:name w:val="NOKTA COPY"/>
    <w:basedOn w:val="Normal"/>
    <w:link w:val="NOKTACOPYChar"/>
    <w:qFormat/>
    <w:rsid w:val="00D50350"/>
    <w:pPr>
      <w:spacing w:before="120" w:after="120" w:line="360" w:lineRule="auto"/>
      <w:ind w:left="0" w:right="0" w:firstLine="709"/>
    </w:pPr>
    <w:rPr>
      <w:rFonts w:ascii="Times New Roman" w:eastAsia="Calibri" w:hAnsi="Times New Roman"/>
      <w:sz w:val="24"/>
      <w:szCs w:val="24"/>
      <w:lang w:val="tr-TR" w:eastAsia="en-US"/>
    </w:rPr>
  </w:style>
  <w:style w:type="character" w:customStyle="1" w:styleId="NOKTACOPYChar">
    <w:name w:val="NOKTA COPY Char"/>
    <w:link w:val="NOKTACOPY"/>
    <w:rsid w:val="00D50350"/>
    <w:rPr>
      <w:rFonts w:ascii="Times New Roman" w:eastAsia="Calibri" w:hAnsi="Times New Roman"/>
      <w:noProof/>
      <w:color w:val="000000"/>
      <w:sz w:val="24"/>
      <w:szCs w:val="24"/>
      <w:lang w:val="tr-TR" w:eastAsia="en-US"/>
    </w:rPr>
  </w:style>
  <w:style w:type="paragraph" w:styleId="ListParagraph">
    <w:name w:val="List Paragraph"/>
    <w:basedOn w:val="Normal"/>
    <w:uiPriority w:val="34"/>
    <w:qFormat/>
    <w:rsid w:val="00D50350"/>
    <w:pPr>
      <w:spacing w:after="200" w:line="276" w:lineRule="auto"/>
      <w:ind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LightShading">
    <w:name w:val="Light Shading"/>
    <w:basedOn w:val="TableNormal"/>
    <w:uiPriority w:val="60"/>
    <w:rsid w:val="00D0095D"/>
    <w:pPr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">
    <w:name w:val="EndNote Bibliography"/>
    <w:basedOn w:val="Normal"/>
    <w:link w:val="EndNoteBibliographyChar"/>
    <w:rsid w:val="00FC0D80"/>
    <w:pPr>
      <w:spacing w:after="20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C0D80"/>
    <w:rPr>
      <w:rFonts w:eastAsiaTheme="minorHAnsi" w:cs="Calibri"/>
      <w:sz w:val="22"/>
      <w:szCs w:val="22"/>
      <w:lang w:val="en-GB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FC0D80"/>
    <w:pPr>
      <w:jc w:val="center"/>
    </w:pPr>
    <w:rPr>
      <w:rFonts w:ascii="Calibri" w:hAnsi="Calibri" w:cs="Calibri"/>
      <w:sz w:val="22"/>
    </w:rPr>
  </w:style>
  <w:style w:type="character" w:customStyle="1" w:styleId="MDPI17abstractChar">
    <w:name w:val="MDPI_1.7_abstract Char"/>
    <w:basedOn w:val="DefaultParagraphFont"/>
    <w:link w:val="MDPI17abstract"/>
    <w:rsid w:val="00FC0D80"/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character" w:customStyle="1" w:styleId="EndNoteBibliographyTitleChar">
    <w:name w:val="EndNote Bibliography Title Char"/>
    <w:basedOn w:val="MDPI17abstractChar"/>
    <w:link w:val="EndNoteBibliographyTitle"/>
    <w:rsid w:val="00FC0D80"/>
    <w:rPr>
      <w:rFonts w:ascii="Palatino Linotype" w:eastAsia="Times New Roman" w:hAnsi="Palatino Linotype" w:cs="Calibri"/>
      <w:color w:val="000000"/>
      <w:sz w:val="22"/>
      <w:szCs w:val="22"/>
      <w:lang w:val="en-GB" w:eastAsia="de-DE" w:bidi="en-US"/>
    </w:rPr>
  </w:style>
  <w:style w:type="paragraph" w:styleId="Revision">
    <w:name w:val="Revision"/>
    <w:hidden/>
    <w:uiPriority w:val="99"/>
    <w:semiHidden/>
    <w:rsid w:val="00482948"/>
    <w:pPr>
      <w:spacing w:line="240" w:lineRule="auto"/>
      <w:ind w:left="0" w:right="0" w:firstLine="0"/>
      <w:jc w:val="left"/>
    </w:pPr>
    <w:rPr>
      <w:rFonts w:ascii="Palatino Linotype" w:hAnsi="Palatino Linotype"/>
      <w:color w:val="00000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5A5B"/>
    <w:rPr>
      <w:color w:val="605E5C"/>
      <w:shd w:val="clear" w:color="auto" w:fill="E1DFDD"/>
    </w:rPr>
  </w:style>
  <w:style w:type="table" w:styleId="MediumShading1-Accent1">
    <w:name w:val="Medium Shading 1 Accent 1"/>
    <w:basedOn w:val="TableNormal"/>
    <w:uiPriority w:val="63"/>
    <w:semiHidden/>
    <w:unhideWhenUsed/>
    <w:rsid w:val="00C81DD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uthors-list-item">
    <w:name w:val="authors-list-item"/>
    <w:basedOn w:val="DefaultParagraphFont"/>
    <w:rsid w:val="004445C3"/>
  </w:style>
  <w:style w:type="character" w:styleId="Strong">
    <w:name w:val="Strong"/>
    <w:basedOn w:val="DefaultParagraphFont"/>
    <w:uiPriority w:val="22"/>
    <w:qFormat/>
    <w:rsid w:val="008760E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2729"/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styleId="Emphasis">
    <w:name w:val="Emphasis"/>
    <w:basedOn w:val="DefaultParagraphFont"/>
    <w:uiPriority w:val="20"/>
    <w:qFormat/>
    <w:rsid w:val="000A2729"/>
    <w:rPr>
      <w:i/>
      <w:iCs/>
    </w:rPr>
  </w:style>
  <w:style w:type="character" w:customStyle="1" w:styleId="comma-separator">
    <w:name w:val="comma-separator"/>
    <w:basedOn w:val="DefaultParagraphFont"/>
    <w:rsid w:val="000A2729"/>
  </w:style>
  <w:style w:type="character" w:customStyle="1" w:styleId="accordion-tabbedtab-mobile">
    <w:name w:val="accordion-tabbed__tab-mobile"/>
    <w:basedOn w:val="DefaultParagraphFont"/>
    <w:rsid w:val="000A2729"/>
  </w:style>
  <w:style w:type="character" w:customStyle="1" w:styleId="author">
    <w:name w:val="author"/>
    <w:basedOn w:val="DefaultParagraphFont"/>
    <w:rsid w:val="000A2729"/>
  </w:style>
  <w:style w:type="character" w:customStyle="1" w:styleId="period">
    <w:name w:val="period"/>
    <w:basedOn w:val="DefaultParagraphFont"/>
    <w:rsid w:val="004A7842"/>
  </w:style>
  <w:style w:type="character" w:customStyle="1" w:styleId="cit">
    <w:name w:val="cit"/>
    <w:basedOn w:val="DefaultParagraphFont"/>
    <w:rsid w:val="00103322"/>
  </w:style>
  <w:style w:type="character" w:customStyle="1" w:styleId="author-sup-separator">
    <w:name w:val="author-sup-separator"/>
    <w:basedOn w:val="DefaultParagraphFont"/>
    <w:rsid w:val="0068597C"/>
  </w:style>
  <w:style w:type="character" w:customStyle="1" w:styleId="comma">
    <w:name w:val="comma"/>
    <w:basedOn w:val="DefaultParagraphFont"/>
    <w:rsid w:val="0068597C"/>
  </w:style>
  <w:style w:type="character" w:customStyle="1" w:styleId="text">
    <w:name w:val="text"/>
    <w:basedOn w:val="DefaultParagraphFont"/>
    <w:rsid w:val="00F8583D"/>
  </w:style>
  <w:style w:type="character" w:customStyle="1" w:styleId="author-ref">
    <w:name w:val="author-ref"/>
    <w:basedOn w:val="DefaultParagraphFont"/>
    <w:rsid w:val="00F8583D"/>
  </w:style>
  <w:style w:type="character" w:customStyle="1" w:styleId="title-text">
    <w:name w:val="title-text"/>
    <w:basedOn w:val="DefaultParagraphFont"/>
    <w:rsid w:val="00A00ADB"/>
  </w:style>
  <w:style w:type="character" w:customStyle="1" w:styleId="Heading2Char">
    <w:name w:val="Heading 2 Char"/>
    <w:basedOn w:val="DefaultParagraphFont"/>
    <w:link w:val="Heading2"/>
    <w:uiPriority w:val="9"/>
    <w:rsid w:val="00A00A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y2iqfc">
    <w:name w:val="y2iqfc"/>
    <w:basedOn w:val="DefaultParagraphFont"/>
    <w:rsid w:val="00753DCD"/>
  </w:style>
  <w:style w:type="character" w:customStyle="1" w:styleId="highlight">
    <w:name w:val="highlight"/>
    <w:basedOn w:val="DefaultParagraphFont"/>
    <w:rsid w:val="00594EC5"/>
  </w:style>
  <w:style w:type="character" w:styleId="UnresolvedMention">
    <w:name w:val="Unresolved Mention"/>
    <w:basedOn w:val="DefaultParagraphFont"/>
    <w:uiPriority w:val="99"/>
    <w:semiHidden/>
    <w:unhideWhenUsed/>
    <w:rsid w:val="0048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ncbi.nlm.nih.gov/pmc/articles/PMC3081274/" TargetMode="External"/><Relationship Id="rId26" Type="http://schemas.openxmlformats.org/officeDocument/2006/relationships/hyperlink" Target="https://www.sciencedirect.com/journal/progress-in-natural-science-materials-international/vol/24/issue/4" TargetMode="External"/><Relationship Id="rId21" Type="http://schemas.openxmlformats.org/officeDocument/2006/relationships/hyperlink" Target="https://pubmed.ncbi.nlm.nih.gov/?term=Upadhya+N&amp;cauthor_id=23878566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hart" Target="charts/chart2.xml"/><Relationship Id="rId25" Type="http://schemas.openxmlformats.org/officeDocument/2006/relationships/hyperlink" Target="https://www.sciencedirect.com/journal/progress-in-natural-science-materials-international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s://pubmed.ncbi.nlm.nih.gov/?term=Ginjupalli+K&amp;cauthor_id=23878566" TargetMode="External"/><Relationship Id="rId29" Type="http://schemas.openxmlformats.org/officeDocument/2006/relationships/hyperlink" Target="https://onlinelibrary.wiley.com/action/doSearch?ContribAuthorRaw=Hu%2C+Hailo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6477/jbcd.v35i1.3313" TargetMode="External"/><Relationship Id="rId24" Type="http://schemas.openxmlformats.org/officeDocument/2006/relationships/hyperlink" Target="https://www.sciencedirect.com/science/article/pii/S1002007114000896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sciencedirect.com/science/article/pii/S1002007114000896" TargetMode="External"/><Relationship Id="rId28" Type="http://schemas.openxmlformats.org/officeDocument/2006/relationships/hyperlink" Target="https://www.ncbi.nlm.nih.gov/pmc/articles/PMC5730138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creativecommons.org/licenses/by/4.0/" TargetMode="External"/><Relationship Id="rId19" Type="http://schemas.openxmlformats.org/officeDocument/2006/relationships/hyperlink" Target="https://pubmed.ncbi.nlm.nih.gov/?term=Amalan+A&amp;cauthor_id=23878566" TargetMode="External"/><Relationship Id="rId31" Type="http://schemas.openxmlformats.org/officeDocument/2006/relationships/hyperlink" Target="https://onlinelibrary.wiley.com/action/doSearch?ContribAuthorRaw=Yin%2C+Ya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s://www.sciencedirect.com/science/article/pii/S1002007114000896" TargetMode="External"/><Relationship Id="rId27" Type="http://schemas.openxmlformats.org/officeDocument/2006/relationships/hyperlink" Target="https://pubmed.ncbi.nlm.nih.gov/?term=Sodagar%20A%5BAuthor%5D" TargetMode="External"/><Relationship Id="rId30" Type="http://schemas.openxmlformats.org/officeDocument/2006/relationships/hyperlink" Target="https://onlinelibrary.wiley.com/action/doSearch?ContribAuthorRaw=Fan%2C+Xingpei" TargetMode="External"/><Relationship Id="rId35" Type="http://schemas.openxmlformats.org/officeDocument/2006/relationships/header" Target="header3.xml"/><Relationship Id="rId8" Type="http://schemas.openxmlformats.org/officeDocument/2006/relationships/hyperlink" Target="mailto:dentist_46@yahoo.com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albasit\Downloads\ijms-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Mean inhibition zone (mm)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043970474144426E-2"/>
          <c:y val="0.2484701912260967"/>
          <c:w val="0.92481361389969663"/>
          <c:h val="0.450861320906315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C.albicans</c:v>
                </c:pt>
                <c:pt idx="1">
                  <c:v>S.mutans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0.20080000000000001</c:v>
                </c:pt>
                <c:pt idx="1">
                  <c:v>0.19009999999999999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E1-4EEF-8193-F0A1F29E470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2%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C.albicans</c:v>
                </c:pt>
                <c:pt idx="1">
                  <c:v>S.mutans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1.2206999999999999</c:v>
                </c:pt>
                <c:pt idx="1">
                  <c:v>1.8904000000000001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E1-4EEF-8193-F0A1F29E470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3%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C.albicans</c:v>
                </c:pt>
                <c:pt idx="1">
                  <c:v>S.mutans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2.2193999999999998</c:v>
                </c:pt>
                <c:pt idx="1">
                  <c:v>3.1135000000000002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E1-4EEF-8193-F0A1F29E470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5%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C.albicans</c:v>
                </c:pt>
                <c:pt idx="1">
                  <c:v>S.mutans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2.7262</c:v>
                </c:pt>
                <c:pt idx="1">
                  <c:v>4.4551999999999996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E1-4EEF-8193-F0A1F29E47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37"/>
        <c:axId val="145332864"/>
        <c:axId val="145351040"/>
      </c:barChart>
      <c:catAx>
        <c:axId val="14533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351040"/>
        <c:crosses val="autoZero"/>
        <c:auto val="1"/>
        <c:lblAlgn val="ctr"/>
        <c:lblOffset val="100"/>
        <c:noMultiLvlLbl val="0"/>
      </c:catAx>
      <c:valAx>
        <c:axId val="145351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33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0402121609798776"/>
          <c:y val="0.16036470487399795"/>
          <c:w val="0.27714275298920971"/>
          <c:h val="6.93165664827940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Surface detail reproduction</a:t>
            </a:r>
          </a:p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20-um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Owens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1">
                  <c:v>Control</c:v>
                </c:pt>
                <c:pt idx="2">
                  <c:v>2  TiO2NPs </c:v>
                </c:pt>
                <c:pt idx="3">
                  <c:v>3%  TiO2NPs </c:v>
                </c:pt>
                <c:pt idx="4">
                  <c:v>5%  TiO2NPs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11-455E-AF88-0FB0158965D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Owens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1">
                  <c:v>Control</c:v>
                </c:pt>
                <c:pt idx="2">
                  <c:v>2  TiO2NPs </c:v>
                </c:pt>
                <c:pt idx="3">
                  <c:v>3%  TiO2NPs </c:v>
                </c:pt>
                <c:pt idx="4">
                  <c:v>5%  TiO2NPs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11-455E-AF88-0FB0158965D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Owens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1">
                  <c:v>Control</c:v>
                </c:pt>
                <c:pt idx="2">
                  <c:v>2  TiO2NPs </c:v>
                </c:pt>
                <c:pt idx="3">
                  <c:v>3%  TiO2NPs </c:v>
                </c:pt>
                <c:pt idx="4">
                  <c:v>5%  TiO2NPs 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11-455E-AF88-0FB0158965D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Owens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1">
                  <c:v>Control</c:v>
                </c:pt>
                <c:pt idx="2">
                  <c:v>2  TiO2NPs </c:v>
                </c:pt>
                <c:pt idx="3">
                  <c:v>3%  TiO2NPs </c:v>
                </c:pt>
                <c:pt idx="4">
                  <c:v>5%  TiO2NPs 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11-455E-AF88-0FB0158965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49852928"/>
        <c:axId val="149854464"/>
      </c:barChart>
      <c:catAx>
        <c:axId val="149852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854464"/>
        <c:crosses val="autoZero"/>
        <c:auto val="1"/>
        <c:lblAlgn val="ctr"/>
        <c:lblOffset val="100"/>
        <c:noMultiLvlLbl val="0"/>
      </c:catAx>
      <c:valAx>
        <c:axId val="14985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sample numbers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8529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715C-A63E-4482-B576-46AA01DD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ijms-template.dot</Template>
  <TotalTime>0</TotalTime>
  <Pages>13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>Ahmed-Under</Company>
  <LinksUpToDate>false</LinksUpToDate>
  <CharactersWithSpaces>34282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abdalbasit</dc:creator>
  <cp:lastModifiedBy>abdalbasit_1977319@hotmail.com</cp:lastModifiedBy>
  <cp:revision>12</cp:revision>
  <cp:lastPrinted>2023-03-23T23:14:00Z</cp:lastPrinted>
  <dcterms:created xsi:type="dcterms:W3CDTF">2023-03-20T21:37:00Z</dcterms:created>
  <dcterms:modified xsi:type="dcterms:W3CDTF">2023-03-23T23:40:00Z</dcterms:modified>
</cp:coreProperties>
</file>