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D7842" w14:textId="77777777" w:rsidR="00EA3514" w:rsidRDefault="00EA3514" w:rsidP="00AC59F1">
      <w:pPr>
        <w:pStyle w:val="MDPI11articletype"/>
        <w:spacing w:before="0" w:line="240" w:lineRule="atLeast"/>
        <w:ind w:left="1440" w:firstLine="0"/>
        <w:rPr>
          <w:rFonts w:ascii="Times New Roman"/>
          <w:i w:val="0"/>
          <w:sz w:val="22"/>
          <w:rtl/>
          <w:lang w:bidi="ar-IQ"/>
        </w:rPr>
      </w:pPr>
    </w:p>
    <w:p w14:paraId="6B0B49A8" w14:textId="061523E6" w:rsidR="00AC59F1" w:rsidRDefault="00916511" w:rsidP="00CC3469">
      <w:pPr>
        <w:pStyle w:val="MDPI11articletype"/>
        <w:spacing w:before="0" w:line="240" w:lineRule="atLeast"/>
        <w:ind w:left="1440" w:firstLine="0"/>
      </w:pPr>
      <w:r>
        <w:t xml:space="preserve">   </w:t>
      </w:r>
      <w:r w:rsidR="00CC3469" w:rsidRPr="00CC3469">
        <w:t>Researc</w:t>
      </w:r>
      <w:r w:rsidR="00CC3469">
        <w:t>h</w:t>
      </w:r>
      <w:r w:rsidR="00AD30DC" w:rsidRPr="00963192">
        <w:t xml:space="preserve"> Article</w:t>
      </w:r>
    </w:p>
    <w:p w14:paraId="70BDF887" w14:textId="5BDF6961" w:rsidR="00AC59F1" w:rsidRDefault="00CC3469" w:rsidP="00916511">
      <w:pPr>
        <w:pStyle w:val="MDPI11articletype"/>
        <w:spacing w:before="0" w:line="240" w:lineRule="atLeast"/>
        <w:ind w:left="1782" w:hanging="162"/>
        <w:rPr>
          <w:b/>
          <w:bCs/>
          <w:i w:val="0"/>
          <w:iCs/>
          <w:sz w:val="36"/>
          <w:szCs w:val="36"/>
        </w:rPr>
      </w:pPr>
      <w:r w:rsidRPr="00CC3469">
        <w:rPr>
          <w:b/>
          <w:bCs/>
          <w:i w:val="0"/>
          <w:iCs/>
          <w:sz w:val="36"/>
          <w:szCs w:val="36"/>
        </w:rPr>
        <w:t>Gene Polymorphisms for Patients with Class III Malocclusion. A Pilot Study</w:t>
      </w:r>
    </w:p>
    <w:p w14:paraId="3E304887" w14:textId="79ACC6F3" w:rsidR="00FE7BF6" w:rsidRPr="00FE7BF6" w:rsidRDefault="00FE7BF6" w:rsidP="00916511">
      <w:pPr>
        <w:pStyle w:val="MDPI17abstract"/>
        <w:tabs>
          <w:tab w:val="left" w:pos="9900"/>
        </w:tabs>
        <w:spacing w:before="0" w:after="60" w:line="240" w:lineRule="auto"/>
        <w:ind w:left="2592" w:right="0" w:firstLine="0"/>
        <w:rPr>
          <w:rFonts w:eastAsia="Calibri"/>
          <w:b/>
          <w:bCs/>
          <w:color w:val="auto"/>
          <w:lang w:eastAsia="en-US"/>
        </w:rPr>
      </w:pPr>
      <w:r>
        <w:t xml:space="preserve">  </w:t>
      </w:r>
      <w:r>
        <w:tab/>
      </w:r>
      <w:r>
        <w:tab/>
        <w:t xml:space="preserve">   </w:t>
      </w:r>
      <w:r w:rsidRPr="00FE7BF6">
        <w:rPr>
          <w:b/>
          <w:bCs/>
          <w:szCs w:val="20"/>
        </w:rPr>
        <w:t xml:space="preserve">Aqeel M. </w:t>
      </w:r>
      <w:proofErr w:type="spellStart"/>
      <w:r w:rsidRPr="00FE7BF6">
        <w:rPr>
          <w:b/>
          <w:bCs/>
          <w:szCs w:val="20"/>
        </w:rPr>
        <w:t>Bahya</w:t>
      </w:r>
      <w:proofErr w:type="spellEnd"/>
      <w:r w:rsidR="009734B5" w:rsidRPr="00575658">
        <w:rPr>
          <w:noProof/>
          <w:lang w:eastAsia="en-US"/>
        </w:rPr>
        <w:drawing>
          <wp:inline distT="0" distB="0" distL="0" distR="0" wp14:anchorId="7E33388F" wp14:editId="0E0DC721">
            <wp:extent cx="102235" cy="102235"/>
            <wp:effectExtent l="0" t="0" r="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9734B5">
        <w:rPr>
          <w:b/>
          <w:bCs/>
          <w:szCs w:val="20"/>
        </w:rPr>
        <w:t xml:space="preserve"> </w:t>
      </w:r>
      <w:r w:rsidR="00916511">
        <w:rPr>
          <w:rFonts w:ascii="Times New Roman"/>
          <w:b/>
          <w:bCs/>
          <w:szCs w:val="18"/>
          <w:vertAlign w:val="superscript"/>
        </w:rPr>
        <w:t>1</w:t>
      </w:r>
      <w:r w:rsidRPr="00FE7BF6">
        <w:rPr>
          <w:b/>
          <w:bCs/>
          <w:szCs w:val="20"/>
        </w:rPr>
        <w:t xml:space="preserve">, </w:t>
      </w:r>
      <w:proofErr w:type="spellStart"/>
      <w:r w:rsidRPr="00FE7BF6">
        <w:rPr>
          <w:b/>
          <w:bCs/>
          <w:szCs w:val="20"/>
        </w:rPr>
        <w:t>Mushriq</w:t>
      </w:r>
      <w:proofErr w:type="spellEnd"/>
      <w:r w:rsidRPr="00FE7BF6">
        <w:rPr>
          <w:b/>
          <w:bCs/>
          <w:szCs w:val="20"/>
        </w:rPr>
        <w:t xml:space="preserve"> Abid</w:t>
      </w:r>
      <w:r w:rsidR="009734B5" w:rsidRPr="00575658">
        <w:rPr>
          <w:noProof/>
          <w:lang w:eastAsia="en-US"/>
        </w:rPr>
        <w:drawing>
          <wp:inline distT="0" distB="0" distL="0" distR="0" wp14:anchorId="3D15FFB8" wp14:editId="100013BB">
            <wp:extent cx="102235" cy="102235"/>
            <wp:effectExtent l="0" t="0" r="0" b="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9734B5">
        <w:rPr>
          <w:b/>
          <w:bCs/>
          <w:szCs w:val="20"/>
        </w:rPr>
        <w:t xml:space="preserve"> </w:t>
      </w:r>
      <w:r w:rsidR="00916511">
        <w:rPr>
          <w:b/>
          <w:bCs/>
          <w:szCs w:val="20"/>
          <w:vertAlign w:val="superscript"/>
        </w:rPr>
        <w:t>1*</w:t>
      </w:r>
      <w:r w:rsidRPr="00FE7BF6">
        <w:rPr>
          <w:rFonts w:eastAsia="Calibri"/>
          <w:b/>
          <w:bCs/>
          <w:color w:val="auto"/>
          <w:lang w:eastAsia="en-US"/>
        </w:rPr>
        <w:t>,</w:t>
      </w:r>
      <w:r w:rsidRPr="00FE7BF6">
        <w:t xml:space="preserve"> </w:t>
      </w:r>
      <w:r w:rsidRPr="00FE7BF6">
        <w:rPr>
          <w:rFonts w:eastAsia="Calibri"/>
          <w:b/>
          <w:bCs/>
          <w:color w:val="auto"/>
          <w:szCs w:val="20"/>
          <w:lang w:eastAsia="en-US"/>
        </w:rPr>
        <w:t xml:space="preserve">Elham </w:t>
      </w:r>
      <w:proofErr w:type="spellStart"/>
      <w:r w:rsidRPr="00FE7BF6">
        <w:rPr>
          <w:rFonts w:eastAsia="Calibri"/>
          <w:b/>
          <w:bCs/>
          <w:color w:val="auto"/>
          <w:szCs w:val="20"/>
          <w:lang w:eastAsia="en-US"/>
        </w:rPr>
        <w:t>Alsahafi</w:t>
      </w:r>
      <w:proofErr w:type="spellEnd"/>
      <w:r w:rsidR="009734B5" w:rsidRPr="00575658">
        <w:rPr>
          <w:noProof/>
          <w:lang w:eastAsia="en-US"/>
        </w:rPr>
        <w:drawing>
          <wp:inline distT="0" distB="0" distL="0" distR="0" wp14:anchorId="04B984DC" wp14:editId="5C2A98E1">
            <wp:extent cx="102235" cy="102235"/>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009734B5">
        <w:rPr>
          <w:rFonts w:eastAsia="Calibri"/>
          <w:b/>
          <w:bCs/>
          <w:color w:val="auto"/>
          <w:szCs w:val="20"/>
          <w:lang w:eastAsia="en-US"/>
        </w:rPr>
        <w:t xml:space="preserve"> </w:t>
      </w:r>
      <w:r w:rsidR="00916511">
        <w:rPr>
          <w:rFonts w:eastAsia="Calibri"/>
          <w:b/>
          <w:bCs/>
          <w:color w:val="auto"/>
          <w:szCs w:val="20"/>
          <w:vertAlign w:val="superscript"/>
          <w:lang w:eastAsia="en-US"/>
        </w:rPr>
        <w:t>2</w:t>
      </w:r>
    </w:p>
    <w:p w14:paraId="5D5B2E45" w14:textId="7C0D2D21" w:rsidR="00FE7BF6" w:rsidRPr="00FE7BF6" w:rsidRDefault="00FE7BF6" w:rsidP="00916511">
      <w:pPr>
        <w:tabs>
          <w:tab w:val="left" w:pos="9900"/>
        </w:tabs>
        <w:adjustRightInd w:val="0"/>
        <w:snapToGrid w:val="0"/>
        <w:spacing w:line="240" w:lineRule="auto"/>
        <w:ind w:left="2160" w:right="0"/>
        <w:rPr>
          <w:rFonts w:eastAsia="Times New Roman"/>
          <w:noProof w:val="0"/>
          <w:sz w:val="16"/>
          <w:szCs w:val="16"/>
          <w:lang w:val="en-GB" w:eastAsia="de-DE" w:bidi="en-US"/>
        </w:rPr>
      </w:pPr>
      <w:r w:rsidRPr="00916511">
        <w:rPr>
          <w:rFonts w:eastAsia="Times New Roman"/>
          <w:noProof w:val="0"/>
          <w:sz w:val="16"/>
          <w:szCs w:val="16"/>
          <w:lang w:eastAsia="de-DE" w:bidi="en-US"/>
        </w:rPr>
        <w:t>1</w:t>
      </w:r>
      <w:r w:rsidRPr="00FE7BF6">
        <w:rPr>
          <w:rFonts w:eastAsia="Times New Roman"/>
          <w:noProof w:val="0"/>
          <w:sz w:val="16"/>
          <w:szCs w:val="16"/>
          <w:lang w:eastAsia="de-DE" w:bidi="en-US"/>
        </w:rPr>
        <w:t xml:space="preserve"> Department of Orthodontics, College of Dentistry University of Baghdad, Baghdad, Iraq</w:t>
      </w:r>
      <w:r w:rsidRPr="00FE7BF6">
        <w:rPr>
          <w:rFonts w:eastAsia="Times New Roman"/>
          <w:noProof w:val="0"/>
          <w:sz w:val="16"/>
          <w:szCs w:val="16"/>
          <w:vertAlign w:val="superscript"/>
          <w:lang w:eastAsia="de-DE" w:bidi="en-US"/>
        </w:rPr>
        <w:t xml:space="preserve">  </w:t>
      </w:r>
    </w:p>
    <w:p w14:paraId="55658BA4" w14:textId="4DB010CC" w:rsidR="00FE7BF6" w:rsidRPr="00FE7BF6" w:rsidRDefault="00916511" w:rsidP="00916511">
      <w:pPr>
        <w:pBdr>
          <w:top w:val="nil"/>
          <w:left w:val="nil"/>
          <w:bottom w:val="nil"/>
          <w:right w:val="nil"/>
          <w:between w:val="nil"/>
          <w:bar w:val="nil"/>
        </w:pBdr>
        <w:spacing w:line="240" w:lineRule="auto"/>
        <w:ind w:left="2610" w:right="0" w:hanging="18"/>
        <w:rPr>
          <w:rFonts w:eastAsia="Times New Roman"/>
          <w:noProof w:val="0"/>
          <w:sz w:val="16"/>
          <w:szCs w:val="16"/>
          <w:u w:color="000000"/>
          <w:bdr w:val="nil"/>
          <w:lang w:eastAsia="en-US"/>
          <w14:textOutline w14:w="0" w14:cap="flat" w14:cmpd="sng" w14:algn="ctr">
            <w14:noFill/>
            <w14:prstDash w14:val="solid"/>
            <w14:bevel/>
          </w14:textOutline>
        </w:rPr>
      </w:pPr>
      <w:r w:rsidRPr="00916511">
        <w:rPr>
          <w:rFonts w:eastAsia="Times New Roman"/>
          <w:noProof w:val="0"/>
          <w:sz w:val="16"/>
          <w:szCs w:val="16"/>
          <w:u w:color="000000"/>
          <w:bdr w:val="nil"/>
          <w:lang w:eastAsia="en-US"/>
          <w14:textOutline w14:w="0" w14:cap="flat" w14:cmpd="sng" w14:algn="ctr">
            <w14:noFill/>
            <w14:prstDash w14:val="solid"/>
            <w14:bevel/>
          </w14:textOutline>
        </w:rPr>
        <w:t>2</w:t>
      </w:r>
      <w:r w:rsidR="00FE7BF6" w:rsidRPr="00FE7BF6">
        <w:rPr>
          <w:rFonts w:eastAsia="Palatino Linotype" w:cs="Palatino Linotype"/>
          <w:noProof w:val="0"/>
          <w:u w:color="000000"/>
          <w:bdr w:val="nil"/>
          <w:lang w:eastAsia="en-US"/>
          <w14:textOutline w14:w="0" w14:cap="flat" w14:cmpd="sng" w14:algn="ctr">
            <w14:noFill/>
            <w14:prstDash w14:val="solid"/>
            <w14:bevel/>
          </w14:textOutline>
        </w:rPr>
        <w:t xml:space="preserve"> </w:t>
      </w:r>
      <w:r w:rsidR="00FE7BF6" w:rsidRPr="00FE7BF6">
        <w:rPr>
          <w:rFonts w:eastAsia="Times New Roman"/>
          <w:noProof w:val="0"/>
          <w:sz w:val="16"/>
          <w:szCs w:val="16"/>
          <w:u w:color="000000"/>
          <w:bdr w:val="nil"/>
          <w:lang w:eastAsia="en-US"/>
          <w14:textOutline w14:w="0" w14:cap="flat" w14:cmpd="sng" w14:algn="ctr">
            <w14:noFill/>
            <w14:prstDash w14:val="solid"/>
            <w14:bevel/>
          </w14:textOutline>
        </w:rPr>
        <w:t xml:space="preserve">Department of Basic and Clinical Sciences, Faculty of Dentistry, Umm </w:t>
      </w:r>
      <w:proofErr w:type="spellStart"/>
      <w:r w:rsidR="00FE7BF6" w:rsidRPr="00FE7BF6">
        <w:rPr>
          <w:rFonts w:eastAsia="Times New Roman"/>
          <w:noProof w:val="0"/>
          <w:sz w:val="16"/>
          <w:szCs w:val="16"/>
          <w:u w:color="000000"/>
          <w:bdr w:val="nil"/>
          <w:lang w:eastAsia="en-US"/>
          <w14:textOutline w14:w="0" w14:cap="flat" w14:cmpd="sng" w14:algn="ctr">
            <w14:noFill/>
            <w14:prstDash w14:val="solid"/>
            <w14:bevel/>
          </w14:textOutline>
        </w:rPr>
        <w:t>AlQura</w:t>
      </w:r>
      <w:proofErr w:type="spellEnd"/>
      <w:r w:rsidR="00FE7BF6" w:rsidRPr="00FE7BF6">
        <w:rPr>
          <w:rFonts w:eastAsia="Times New Roman"/>
          <w:noProof w:val="0"/>
          <w:sz w:val="16"/>
          <w:szCs w:val="16"/>
          <w:u w:color="000000"/>
          <w:bdr w:val="nil"/>
          <w:lang w:eastAsia="en-US"/>
          <w14:textOutline w14:w="0" w14:cap="flat" w14:cmpd="sng" w14:algn="ctr">
            <w14:noFill/>
            <w14:prstDash w14:val="solid"/>
            <w14:bevel/>
          </w14:textOutline>
        </w:rPr>
        <w:t>, University Saudi Arabia.</w:t>
      </w:r>
    </w:p>
    <w:p w14:paraId="33AAE47A" w14:textId="252C8890" w:rsidR="00FE7BF6" w:rsidRPr="007349E2" w:rsidRDefault="008807E3" w:rsidP="00916511">
      <w:pPr>
        <w:pBdr>
          <w:top w:val="nil"/>
          <w:left w:val="nil"/>
          <w:bottom w:val="nil"/>
          <w:right w:val="nil"/>
          <w:between w:val="nil"/>
          <w:bar w:val="nil"/>
        </w:pBdr>
        <w:spacing w:line="240" w:lineRule="auto"/>
        <w:ind w:left="2592" w:right="0" w:firstLine="0"/>
        <w:rPr>
          <w:rFonts w:eastAsia="Palatino Linotype" w:cs="Palatino Linotype"/>
          <w:noProof w:val="0"/>
          <w:color w:val="0000FF"/>
          <w:sz w:val="16"/>
          <w:szCs w:val="16"/>
          <w:u w:val="single" w:color="4472C4"/>
          <w:bdr w:val="nil"/>
          <w:lang w:eastAsia="en-US"/>
          <w14:textOutline w14:w="0" w14:cap="flat" w14:cmpd="sng" w14:algn="ctr">
            <w14:noFill/>
            <w14:prstDash w14:val="solid"/>
            <w14:bevel/>
          </w14:textOutline>
        </w:rPr>
      </w:pPr>
      <w:r>
        <w:rPr>
          <w:rFonts w:eastAsia="Palatino Linotype" w:cs="Palatino Linotype"/>
          <w:b/>
          <w:bCs/>
          <w:noProof w:val="0"/>
          <w:sz w:val="16"/>
          <w:szCs w:val="16"/>
          <w:u w:color="000000"/>
          <w:bdr w:val="nil"/>
          <w:lang w:eastAsia="en-US"/>
          <w14:textOutline w14:w="0" w14:cap="flat" w14:cmpd="sng" w14:algn="ctr">
            <w14:noFill/>
            <w14:prstDash w14:val="solid"/>
            <w14:bevel/>
          </w14:textOutline>
        </w:rPr>
        <w:t>*</w:t>
      </w:r>
      <w:r>
        <w:rPr>
          <w:rFonts w:eastAsia="Palatino Linotype" w:cs="Palatino Linotype"/>
          <w:noProof w:val="0"/>
          <w:sz w:val="16"/>
          <w:szCs w:val="16"/>
          <w:u w:color="000000"/>
          <w:bdr w:val="nil"/>
          <w:lang w:eastAsia="en-US"/>
          <w14:textOutline w14:w="0" w14:cap="flat" w14:cmpd="sng" w14:algn="ctr">
            <w14:noFill/>
            <w14:prstDash w14:val="solid"/>
            <w14:bevel/>
          </w14:textOutline>
        </w:rPr>
        <w:t xml:space="preserve">Corresponding author: </w:t>
      </w:r>
      <w:hyperlink r:id="rId10" w:history="1">
        <w:r w:rsidR="00FE7BF6" w:rsidRPr="00FE7BF6">
          <w:rPr>
            <w:rFonts w:eastAsia="Palatino Linotype" w:cs="Palatino Linotype"/>
            <w:noProof w:val="0"/>
            <w:color w:val="0000FF"/>
            <w:sz w:val="16"/>
            <w:szCs w:val="16"/>
            <w:u w:val="single" w:color="4472C4"/>
            <w:bdr w:val="nil"/>
            <w:lang w:eastAsia="en-US"/>
            <w14:textOutline w14:w="0" w14:cap="flat" w14:cmpd="sng" w14:algn="ctr">
              <w14:noFill/>
              <w14:prstDash w14:val="solid"/>
              <w14:bevel/>
            </w14:textOutline>
          </w:rPr>
          <w:t>oqil.moslem1203a@codental.uobaghdad.edu.iq</w:t>
        </w:r>
      </w:hyperlink>
      <w:r>
        <w:rPr>
          <w:rFonts w:eastAsia="Palatino Linotype" w:cs="Palatino Linotype"/>
          <w:noProof w:val="0"/>
          <w:color w:val="0000FF"/>
          <w:sz w:val="16"/>
          <w:szCs w:val="16"/>
          <w:u w:val="single" w:color="4472C4"/>
          <w:bdr w:val="nil"/>
          <w:lang w:eastAsia="en-US"/>
          <w14:textOutline w14:w="0" w14:cap="flat" w14:cmpd="sng" w14:algn="ctr">
            <w14:noFill/>
            <w14:prstDash w14:val="solid"/>
            <w14:bevel/>
          </w14:textOutline>
        </w:rPr>
        <w:t xml:space="preserve">, </w:t>
      </w:r>
      <w:hyperlink r:id="rId11" w:history="1">
        <w:r w:rsidRPr="008807E3">
          <w:rPr>
            <w:rStyle w:val="Hyperlink"/>
            <w:rFonts w:eastAsia="Palatino Linotype" w:cs="Palatino Linotype"/>
            <w:noProof w:val="0"/>
            <w:sz w:val="16"/>
            <w:szCs w:val="16"/>
            <w:u w:color="4472C4"/>
            <w:bdr w:val="nil"/>
            <w:lang w:eastAsia="en-US"/>
            <w14:textOutline w14:w="0" w14:cap="flat" w14:cmpd="sng" w14:algn="ctr">
              <w14:noFill/>
              <w14:prstDash w14:val="solid"/>
              <w14:bevel/>
            </w14:textOutline>
          </w:rPr>
          <w:t>mushriq.abid@codental.uobaghdad.edu.iq</w:t>
        </w:r>
      </w:hyperlink>
      <w:r>
        <w:rPr>
          <w:rFonts w:eastAsia="Palatino Linotype" w:cs="Palatino Linotype"/>
          <w:noProof w:val="0"/>
          <w:color w:val="0000FF"/>
          <w:sz w:val="16"/>
          <w:szCs w:val="16"/>
          <w:u w:val="single" w:color="4472C4"/>
          <w:bdr w:val="nil"/>
          <w:lang w:eastAsia="en-US"/>
          <w14:textOutline w14:w="0" w14:cap="flat" w14:cmpd="sng" w14:algn="ctr">
            <w14:noFill/>
            <w14:prstDash w14:val="solid"/>
            <w14:bevel/>
          </w14:textOutline>
        </w:rPr>
        <w:t xml:space="preserve">,  </w:t>
      </w:r>
      <w:hyperlink r:id="rId12" w:history="1">
        <w:r w:rsidRPr="008807E3">
          <w:rPr>
            <w:rStyle w:val="Hyperlink"/>
            <w:rFonts w:eastAsia="Palatino Linotype" w:cs="Palatino Linotype"/>
            <w:noProof w:val="0"/>
            <w:sz w:val="16"/>
            <w:szCs w:val="16"/>
            <w:u w:color="4472C4"/>
            <w:bdr w:val="nil"/>
            <w:lang w:val="en-GB" w:eastAsia="en-US"/>
            <w14:textOutline w14:w="0" w14:cap="flat" w14:cmpd="sng" w14:algn="ctr">
              <w14:noFill/>
              <w14:prstDash w14:val="solid"/>
              <w14:bevel/>
            </w14:textOutline>
          </w:rPr>
          <w:t>ensahafi@uqu.edu.sa</w:t>
        </w:r>
      </w:hyperlink>
    </w:p>
    <w:p w14:paraId="02CF906B" w14:textId="77777777" w:rsidR="00CC3469" w:rsidRPr="00DA1FC9" w:rsidRDefault="00CC3469" w:rsidP="009201F7">
      <w:pPr>
        <w:pStyle w:val="Body"/>
        <w:spacing w:before="120" w:line="240" w:lineRule="atLeast"/>
        <w:ind w:left="0" w:right="0" w:firstLine="0"/>
      </w:pPr>
    </w:p>
    <w:tbl>
      <w:tblPr>
        <w:tblpPr w:leftFromText="198" w:rightFromText="198" w:vertAnchor="page" w:horzAnchor="margin" w:tblpY="4261"/>
        <w:tblW w:w="2410" w:type="dxa"/>
        <w:tblLayout w:type="fixed"/>
        <w:tblCellMar>
          <w:left w:w="0" w:type="dxa"/>
          <w:right w:w="0" w:type="dxa"/>
        </w:tblCellMar>
        <w:tblLook w:val="04A0" w:firstRow="1" w:lastRow="0" w:firstColumn="1" w:lastColumn="0" w:noHBand="0" w:noVBand="1"/>
      </w:tblPr>
      <w:tblGrid>
        <w:gridCol w:w="2410"/>
      </w:tblGrid>
      <w:tr w:rsidR="009734B5" w:rsidRPr="00FE7BF6" w14:paraId="0BBD96CD" w14:textId="77777777" w:rsidTr="009734B5">
        <w:tc>
          <w:tcPr>
            <w:tcW w:w="2410" w:type="dxa"/>
            <w:shd w:val="clear" w:color="auto" w:fill="auto"/>
          </w:tcPr>
          <w:p w14:paraId="1924DEE9" w14:textId="77777777" w:rsidR="009734B5" w:rsidRPr="00916511" w:rsidRDefault="009734B5" w:rsidP="009734B5">
            <w:pPr>
              <w:pStyle w:val="MDPI14history"/>
              <w:ind w:left="0" w:firstLine="0"/>
              <w:rPr>
                <w:rFonts w:eastAsia="SimSun" w:cs="SimSun"/>
                <w:b/>
                <w:bCs/>
              </w:rPr>
            </w:pPr>
            <w:r w:rsidRPr="00916511">
              <w:rPr>
                <w:b/>
                <w:bCs/>
                <w:szCs w:val="14"/>
              </w:rPr>
              <w:t>Received date: 06-09-2023</w:t>
            </w:r>
          </w:p>
          <w:p w14:paraId="36884924" w14:textId="77777777" w:rsidR="009734B5" w:rsidRPr="00916511" w:rsidRDefault="009734B5" w:rsidP="009734B5">
            <w:pPr>
              <w:pStyle w:val="MDPI14history"/>
              <w:ind w:left="0" w:firstLine="0"/>
              <w:rPr>
                <w:b/>
                <w:bCs/>
                <w:szCs w:val="14"/>
              </w:rPr>
            </w:pPr>
            <w:r w:rsidRPr="00916511">
              <w:rPr>
                <w:b/>
                <w:bCs/>
                <w:szCs w:val="14"/>
              </w:rPr>
              <w:t>Accepted date: 17-10-2023</w:t>
            </w:r>
          </w:p>
          <w:p w14:paraId="256AC245" w14:textId="77777777" w:rsidR="009734B5" w:rsidRPr="00916511" w:rsidRDefault="009734B5" w:rsidP="009734B5">
            <w:pPr>
              <w:pStyle w:val="MDPI14history"/>
              <w:spacing w:after="120"/>
              <w:ind w:left="0" w:firstLine="0"/>
              <w:rPr>
                <w:b/>
                <w:bCs/>
                <w:szCs w:val="14"/>
              </w:rPr>
            </w:pPr>
            <w:r w:rsidRPr="00916511">
              <w:rPr>
                <w:b/>
                <w:bCs/>
                <w:szCs w:val="14"/>
              </w:rPr>
              <w:t>Published date: 15-06-2024</w:t>
            </w:r>
          </w:p>
          <w:p w14:paraId="0BABA2E4" w14:textId="77777777" w:rsidR="009734B5" w:rsidRPr="00FE7BF6" w:rsidRDefault="009734B5" w:rsidP="009734B5">
            <w:pPr>
              <w:adjustRightInd w:val="0"/>
              <w:snapToGrid w:val="0"/>
              <w:spacing w:line="240" w:lineRule="atLeast"/>
              <w:ind w:left="0" w:right="113"/>
              <w:jc w:val="left"/>
              <w:rPr>
                <w:rFonts w:eastAsia="DengXian"/>
                <w:bCs/>
                <w:sz w:val="14"/>
                <w:szCs w:val="14"/>
                <w:lang w:bidi="en-US"/>
              </w:rPr>
            </w:pPr>
          </w:p>
          <w:p w14:paraId="5294C5CA" w14:textId="77777777" w:rsidR="009734B5" w:rsidRPr="00FE7BF6" w:rsidRDefault="009734B5" w:rsidP="009734B5">
            <w:pPr>
              <w:adjustRightInd w:val="0"/>
              <w:snapToGrid w:val="0"/>
              <w:spacing w:line="240" w:lineRule="atLeast"/>
              <w:ind w:left="0" w:right="113" w:firstLine="0"/>
              <w:jc w:val="left"/>
              <w:rPr>
                <w:rFonts w:eastAsia="DengXian"/>
                <w:b/>
                <w:bCs/>
                <w:sz w:val="14"/>
                <w:szCs w:val="14"/>
                <w:lang w:bidi="en-US"/>
              </w:rPr>
            </w:pPr>
            <w:r w:rsidRPr="00FE7BF6">
              <w:rPr>
                <w:rFonts w:eastAsia="DengXian"/>
                <w:lang w:eastAsia="en-US"/>
              </w:rPr>
              <w:drawing>
                <wp:anchor distT="0" distB="0" distL="114300" distR="114300" simplePos="0" relativeHeight="251667456" behindDoc="1" locked="0" layoutInCell="1" allowOverlap="1" wp14:anchorId="034EE861" wp14:editId="053583AB">
                  <wp:simplePos x="0" y="0"/>
                  <wp:positionH relativeFrom="column">
                    <wp:posOffset>34290</wp:posOffset>
                  </wp:positionH>
                  <wp:positionV relativeFrom="paragraph">
                    <wp:posOffset>34290</wp:posOffset>
                  </wp:positionV>
                  <wp:extent cx="933450" cy="347345"/>
                  <wp:effectExtent l="0" t="0" r="0" b="0"/>
                  <wp:wrapTight wrapText="bothSides">
                    <wp:wrapPolygon edited="0">
                      <wp:start x="0" y="0"/>
                      <wp:lineTo x="0" y="20139"/>
                      <wp:lineTo x="21159" y="20139"/>
                      <wp:lineTo x="21159"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4C2BB" w14:textId="77777777" w:rsidR="009734B5" w:rsidRPr="00FE7BF6" w:rsidRDefault="009734B5" w:rsidP="009734B5">
            <w:pPr>
              <w:adjustRightInd w:val="0"/>
              <w:snapToGrid w:val="0"/>
              <w:spacing w:line="240" w:lineRule="atLeast"/>
              <w:ind w:left="0" w:right="113" w:firstLine="0"/>
              <w:jc w:val="left"/>
              <w:rPr>
                <w:rFonts w:eastAsia="DengXian"/>
                <w:b/>
                <w:bCs/>
                <w:sz w:val="14"/>
                <w:szCs w:val="14"/>
                <w:lang w:bidi="en-US"/>
              </w:rPr>
            </w:pPr>
          </w:p>
          <w:p w14:paraId="0A5F4C70" w14:textId="77777777" w:rsidR="009734B5" w:rsidRPr="00FE7BF6" w:rsidRDefault="009734B5" w:rsidP="009734B5">
            <w:pPr>
              <w:adjustRightInd w:val="0"/>
              <w:snapToGrid w:val="0"/>
              <w:spacing w:line="240" w:lineRule="atLeast"/>
              <w:ind w:left="0" w:right="113" w:firstLine="0"/>
              <w:rPr>
                <w:rFonts w:eastAsia="DengXian"/>
                <w:bCs/>
                <w:sz w:val="14"/>
                <w:szCs w:val="14"/>
                <w:lang w:bidi="en-US"/>
              </w:rPr>
            </w:pPr>
            <w:r w:rsidRPr="00FE7BF6">
              <w:rPr>
                <w:rFonts w:eastAsia="DengXian"/>
                <w:b/>
                <w:bCs/>
                <w:sz w:val="14"/>
                <w:szCs w:val="14"/>
                <w:lang w:bidi="en-US"/>
              </w:rPr>
              <w:t>Copyright:</w:t>
            </w:r>
            <w:r w:rsidRPr="00FE7BF6">
              <w:rPr>
                <w:rFonts w:eastAsia="DengXian"/>
                <w:bCs/>
                <w:sz w:val="14"/>
                <w:szCs w:val="14"/>
                <w:lang w:bidi="en-US"/>
              </w:rPr>
              <w:t xml:space="preserve"> © 2022 by the authors. Submitted for possible open access publication under the terms and conditions of the Creative Commons Attribution (CC BY) license (</w:t>
            </w:r>
            <w:hyperlink r:id="rId14" w:history="1">
              <w:r w:rsidRPr="00FE7BF6">
                <w:rPr>
                  <w:rStyle w:val="Hyperlink"/>
                  <w:rFonts w:eastAsia="DengXian"/>
                  <w:bCs/>
                  <w:sz w:val="14"/>
                  <w:szCs w:val="14"/>
                  <w:lang w:bidi="en-US"/>
                </w:rPr>
                <w:t>https://creativecommons.org/licenses/by/4.0/</w:t>
              </w:r>
            </w:hyperlink>
            <w:r w:rsidRPr="00FE7BF6">
              <w:rPr>
                <w:rFonts w:eastAsia="DengXian"/>
                <w:bCs/>
                <w:sz w:val="14"/>
                <w:szCs w:val="14"/>
                <w:lang w:bidi="en-US"/>
              </w:rPr>
              <w:t>).</w:t>
            </w:r>
          </w:p>
          <w:p w14:paraId="050429A0" w14:textId="77777777" w:rsidR="009734B5" w:rsidRPr="00FE7BF6" w:rsidRDefault="009734B5" w:rsidP="009734B5">
            <w:pPr>
              <w:adjustRightInd w:val="0"/>
              <w:snapToGrid w:val="0"/>
              <w:spacing w:line="240" w:lineRule="atLeast"/>
              <w:ind w:left="0" w:right="113" w:firstLine="0"/>
              <w:jc w:val="left"/>
              <w:rPr>
                <w:rFonts w:eastAsia="DengXian"/>
                <w:bCs/>
                <w:sz w:val="14"/>
                <w:szCs w:val="14"/>
                <w:lang w:bidi="en-US"/>
              </w:rPr>
            </w:pPr>
          </w:p>
        </w:tc>
      </w:tr>
    </w:tbl>
    <w:p w14:paraId="5336878C" w14:textId="2FA017C3" w:rsidR="00CC3469" w:rsidRPr="00FE7BF6" w:rsidRDefault="00EA3514" w:rsidP="009B4B23">
      <w:pPr>
        <w:pStyle w:val="Body"/>
        <w:spacing w:line="240" w:lineRule="auto"/>
        <w:ind w:left="2606" w:firstLine="0"/>
        <w:contextualSpacing/>
        <w:rPr>
          <w:rFonts w:cs="Times New Roman"/>
          <w:sz w:val="18"/>
          <w:szCs w:val="18"/>
          <w:rtl/>
        </w:rPr>
      </w:pPr>
      <w:r w:rsidRPr="00FE7BF6">
        <w:rPr>
          <w:rFonts w:hint="cs"/>
          <w:b/>
          <w:bCs/>
          <w:sz w:val="18"/>
          <w:szCs w:val="18"/>
          <w:rtl/>
          <w:lang w:val="de-DE"/>
        </w:rPr>
        <w:t xml:space="preserve">        </w:t>
      </w:r>
      <w:r w:rsidR="00676BA3" w:rsidRPr="00FE7BF6">
        <w:rPr>
          <w:b/>
          <w:bCs/>
          <w:sz w:val="18"/>
          <w:szCs w:val="18"/>
          <w:lang w:val="de-DE"/>
        </w:rPr>
        <w:t>Abstract:</w:t>
      </w:r>
      <w:r w:rsidR="00676BA3" w:rsidRPr="00FE7BF6">
        <w:rPr>
          <w:b/>
          <w:bCs/>
          <w:sz w:val="24"/>
          <w:szCs w:val="24"/>
          <w:lang w:val="de-DE"/>
        </w:rPr>
        <w:t xml:space="preserve"> </w:t>
      </w:r>
      <w:r w:rsidR="00CC3469" w:rsidRPr="00FE7BF6">
        <w:rPr>
          <w:sz w:val="18"/>
          <w:szCs w:val="18"/>
        </w:rPr>
        <w:t xml:space="preserve">Background: The interactions of genetic and environmental factors may account for the variability in the expression of malocclusion. The study of malocclusion etiology is fundamental to understand the biology underlying craniofacial growth and dental relations. Understanding biology will improve progress toward effective treatment and prevention, thereby decreasing the burden of this condition. Objectives: The present study was set out to investigate the association of </w:t>
      </w:r>
      <w:r w:rsidR="009B4B23" w:rsidRPr="00FE7BF6">
        <w:rPr>
          <w:rFonts w:eastAsia="SimSun" w:cs="Times New Roman"/>
          <w:noProof/>
          <w:sz w:val="18"/>
          <w:szCs w:val="18"/>
          <w:bdr w:val="none" w:sz="0" w:space="0" w:color="auto"/>
          <w:lang w:eastAsia="zh-CN"/>
          <w14:textOutline w14:w="0" w14:cap="rnd" w14:cmpd="sng" w14:algn="ctr">
            <w14:noFill/>
            <w14:prstDash w14:val="solid"/>
            <w14:bevel/>
          </w14:textOutline>
        </w:rPr>
        <w:t xml:space="preserve">the single nucleotide polymorphisms (SNPs)  </w:t>
      </w:r>
      <w:r w:rsidR="00CC3469" w:rsidRPr="00FE7BF6">
        <w:rPr>
          <w:sz w:val="18"/>
          <w:szCs w:val="18"/>
        </w:rPr>
        <w:t xml:space="preserve">in different genes (rs2249492 in </w:t>
      </w:r>
      <w:r w:rsidR="00CC3469" w:rsidRPr="00FE7BF6">
        <w:rPr>
          <w:i/>
          <w:iCs/>
          <w:sz w:val="18"/>
          <w:szCs w:val="18"/>
        </w:rPr>
        <w:t>COLA1A</w:t>
      </w:r>
      <w:r w:rsidR="00CC3469" w:rsidRPr="00FE7BF6">
        <w:rPr>
          <w:sz w:val="18"/>
          <w:szCs w:val="18"/>
        </w:rPr>
        <w:t xml:space="preserve">, rs4434184 in </w:t>
      </w:r>
      <w:r w:rsidR="00CC3469" w:rsidRPr="00FE7BF6">
        <w:rPr>
          <w:i/>
          <w:iCs/>
          <w:sz w:val="18"/>
          <w:szCs w:val="18"/>
        </w:rPr>
        <w:t>SOX2</w:t>
      </w:r>
      <w:r w:rsidR="00CC3469" w:rsidRPr="00FE7BF6">
        <w:rPr>
          <w:sz w:val="18"/>
          <w:szCs w:val="18"/>
        </w:rPr>
        <w:t xml:space="preserve">, rs2162540 in </w:t>
      </w:r>
      <w:r w:rsidR="00CC3469" w:rsidRPr="00FE7BF6">
        <w:rPr>
          <w:i/>
          <w:iCs/>
          <w:sz w:val="18"/>
          <w:szCs w:val="18"/>
        </w:rPr>
        <w:t>FGFR2</w:t>
      </w:r>
      <w:r w:rsidR="00CC3469" w:rsidRPr="00FE7BF6">
        <w:rPr>
          <w:sz w:val="18"/>
          <w:szCs w:val="18"/>
        </w:rPr>
        <w:t xml:space="preserve">, rs11696257 in </w:t>
      </w:r>
      <w:r w:rsidR="00CC3469" w:rsidRPr="00FE7BF6">
        <w:rPr>
          <w:i/>
          <w:iCs/>
          <w:sz w:val="18"/>
          <w:szCs w:val="18"/>
        </w:rPr>
        <w:t>MAFB</w:t>
      </w:r>
      <w:r w:rsidR="00CC3469" w:rsidRPr="00FE7BF6">
        <w:rPr>
          <w:sz w:val="18"/>
          <w:szCs w:val="18"/>
        </w:rPr>
        <w:t xml:space="preserve">, and rs881301 in </w:t>
      </w:r>
      <w:r w:rsidR="00CC3469" w:rsidRPr="00FE7BF6">
        <w:rPr>
          <w:i/>
          <w:iCs/>
          <w:sz w:val="18"/>
          <w:szCs w:val="18"/>
        </w:rPr>
        <w:t>FGFR1</w:t>
      </w:r>
      <w:r w:rsidR="006F6D23" w:rsidRPr="00FE7BF6">
        <w:rPr>
          <w:sz w:val="18"/>
          <w:szCs w:val="18"/>
        </w:rPr>
        <w:t>)</w:t>
      </w:r>
      <w:r w:rsidR="00CC3469" w:rsidRPr="00FE7BF6">
        <w:rPr>
          <w:sz w:val="18"/>
          <w:szCs w:val="18"/>
        </w:rPr>
        <w:t xml:space="preserve"> with Class III malocclusion. Materials and Methods: A total of 10 patients, comprising 5 with Skeletal Class I and 5 with Skeletal Class III malocclusion, were included in the present study. Salivary DNA samples were collected and analyzed using Sanger sequencing. Digital tracing was performed on lateral cephalometric radiographs by using AutoCAD software for digitization to assess the </w:t>
      </w:r>
      <w:proofErr w:type="spellStart"/>
      <w:r w:rsidR="00CC3469" w:rsidRPr="00FE7BF6">
        <w:rPr>
          <w:sz w:val="18"/>
          <w:szCs w:val="18"/>
        </w:rPr>
        <w:t>anterio</w:t>
      </w:r>
      <w:proofErr w:type="spellEnd"/>
      <w:r w:rsidR="00CC3469" w:rsidRPr="00FE7BF6">
        <w:rPr>
          <w:sz w:val="18"/>
          <w:szCs w:val="18"/>
        </w:rPr>
        <w:t>-posterior and vertical relationship of the maxillary and mandibular arch.       Results: Out of five genes polymorphisms only two genes polymorphisms (</w:t>
      </w:r>
      <w:r w:rsidR="00CC3469" w:rsidRPr="00FE7BF6">
        <w:rPr>
          <w:i/>
          <w:iCs/>
          <w:sz w:val="18"/>
          <w:szCs w:val="18"/>
        </w:rPr>
        <w:t>SOX2</w:t>
      </w:r>
      <w:r w:rsidR="00CC3469" w:rsidRPr="00FE7BF6">
        <w:rPr>
          <w:sz w:val="18"/>
          <w:szCs w:val="18"/>
        </w:rPr>
        <w:t xml:space="preserve"> and </w:t>
      </w:r>
      <w:r w:rsidR="00CC3469" w:rsidRPr="00FE7BF6">
        <w:rPr>
          <w:i/>
          <w:iCs/>
          <w:sz w:val="18"/>
          <w:szCs w:val="18"/>
        </w:rPr>
        <w:t>FGFR1</w:t>
      </w:r>
      <w:r w:rsidR="00CC3469" w:rsidRPr="00FE7BF6">
        <w:rPr>
          <w:sz w:val="18"/>
          <w:szCs w:val="18"/>
        </w:rPr>
        <w:t xml:space="preserve">) showed an association with </w:t>
      </w:r>
      <w:proofErr w:type="spellStart"/>
      <w:r w:rsidR="00CC3469" w:rsidRPr="00FE7BF6">
        <w:rPr>
          <w:sz w:val="18"/>
          <w:szCs w:val="18"/>
        </w:rPr>
        <w:t>Cl.III</w:t>
      </w:r>
      <w:proofErr w:type="spellEnd"/>
      <w:r w:rsidR="00CC3469" w:rsidRPr="00FE7BF6">
        <w:rPr>
          <w:sz w:val="18"/>
          <w:szCs w:val="18"/>
        </w:rPr>
        <w:t xml:space="preserve"> malocclusion. Conclusion: This study reveals that </w:t>
      </w:r>
      <w:r w:rsidR="00CC3469" w:rsidRPr="00FE7BF6">
        <w:rPr>
          <w:i/>
          <w:iCs/>
          <w:sz w:val="18"/>
          <w:szCs w:val="18"/>
        </w:rPr>
        <w:t>SOX2</w:t>
      </w:r>
      <w:r w:rsidR="00CC3469" w:rsidRPr="00FE7BF6">
        <w:rPr>
          <w:sz w:val="18"/>
          <w:szCs w:val="18"/>
        </w:rPr>
        <w:t xml:space="preserve"> and </w:t>
      </w:r>
      <w:r w:rsidR="00CC3469" w:rsidRPr="00FE7BF6">
        <w:rPr>
          <w:i/>
          <w:iCs/>
          <w:sz w:val="18"/>
          <w:szCs w:val="18"/>
        </w:rPr>
        <w:t>FGFR1</w:t>
      </w:r>
      <w:r w:rsidR="00CC3469" w:rsidRPr="00FE7BF6">
        <w:rPr>
          <w:sz w:val="18"/>
          <w:szCs w:val="18"/>
        </w:rPr>
        <w:t xml:space="preserve"> genetic polymorphisms may be responsible for Class III malocclusion. However, more study with a larger participant pool is required to confirm these findings. </w:t>
      </w:r>
    </w:p>
    <w:p w14:paraId="5C38CA30" w14:textId="6023A9D0" w:rsidR="00AD30DC" w:rsidRPr="00FE7BF6" w:rsidRDefault="00AD30DC" w:rsidP="00CC3469">
      <w:pPr>
        <w:pStyle w:val="Body"/>
        <w:spacing w:line="240" w:lineRule="auto"/>
        <w:ind w:left="2606" w:firstLine="0"/>
        <w:contextualSpacing/>
        <w:rPr>
          <w:rFonts w:eastAsia="Times New Roman" w:cs="Times New Roman"/>
          <w:color w:val="auto"/>
          <w:sz w:val="18"/>
          <w:szCs w:val="18"/>
        </w:rPr>
      </w:pPr>
    </w:p>
    <w:p w14:paraId="09B179F1" w14:textId="105F5830" w:rsidR="00AD30DC" w:rsidRPr="00FE7BF6" w:rsidRDefault="005545DE" w:rsidP="00CC3469">
      <w:pPr>
        <w:pStyle w:val="Body"/>
        <w:spacing w:line="240" w:lineRule="auto"/>
        <w:ind w:left="2606" w:firstLine="0"/>
        <w:contextualSpacing/>
        <w:rPr>
          <w:rFonts w:eastAsia="Times New Roman" w:cs="Times New Roman"/>
          <w:sz w:val="18"/>
          <w:szCs w:val="18"/>
        </w:rPr>
      </w:pPr>
      <w:r w:rsidRPr="00FE7BF6">
        <w:rPr>
          <w:b/>
          <w:bCs/>
          <w:sz w:val="18"/>
          <w:szCs w:val="18"/>
        </w:rPr>
        <w:t xml:space="preserve">        </w:t>
      </w:r>
      <w:r w:rsidR="00AD30DC" w:rsidRPr="00FE7BF6">
        <w:rPr>
          <w:b/>
          <w:bCs/>
          <w:sz w:val="18"/>
          <w:szCs w:val="18"/>
        </w:rPr>
        <w:t>Keywords:</w:t>
      </w:r>
      <w:r w:rsidR="00AC59F1" w:rsidRPr="00FE7BF6">
        <w:rPr>
          <w:sz w:val="22"/>
          <w:szCs w:val="22"/>
        </w:rPr>
        <w:t xml:space="preserve"> </w:t>
      </w:r>
      <w:r w:rsidR="00CC3469" w:rsidRPr="00FE7BF6">
        <w:rPr>
          <w:sz w:val="18"/>
          <w:szCs w:val="18"/>
        </w:rPr>
        <w:t xml:space="preserve">Gene polymorphism, SNPs, Class III malocclusion, </w:t>
      </w:r>
      <w:r w:rsidR="00CC3469" w:rsidRPr="00FE7BF6">
        <w:rPr>
          <w:i/>
          <w:iCs/>
          <w:sz w:val="18"/>
          <w:szCs w:val="18"/>
        </w:rPr>
        <w:t>SOX2, FGFR1.</w:t>
      </w:r>
    </w:p>
    <w:p w14:paraId="789FD89B" w14:textId="39BC6A83" w:rsidR="00AD30DC" w:rsidRPr="00FE7BF6" w:rsidRDefault="00784821" w:rsidP="00793638">
      <w:pPr>
        <w:spacing w:before="240" w:after="60" w:line="240" w:lineRule="atLeast"/>
        <w:ind w:right="476" w:firstLine="0"/>
        <w:jc w:val="left"/>
        <w:rPr>
          <w:rFonts w:eastAsia="Times New Roman"/>
        </w:rPr>
      </w:pPr>
      <w:bookmarkStart w:id="0" w:name="_Hlk96968405"/>
      <w:r w:rsidRPr="00FE7BF6">
        <w:rPr>
          <w:b/>
          <w:bCs/>
          <w:lang w:eastAsia="en-US"/>
        </w:rPr>
        <mc:AlternateContent>
          <mc:Choice Requires="wps">
            <w:drawing>
              <wp:anchor distT="0" distB="0" distL="114300" distR="114300" simplePos="0" relativeHeight="251661312" behindDoc="0" locked="0" layoutInCell="1" allowOverlap="1" wp14:anchorId="0C4F0586" wp14:editId="7E8195BC">
                <wp:simplePos x="0" y="0"/>
                <wp:positionH relativeFrom="column">
                  <wp:posOffset>1661745</wp:posOffset>
                </wp:positionH>
                <wp:positionV relativeFrom="paragraph">
                  <wp:posOffset>3126</wp:posOffset>
                </wp:positionV>
                <wp:extent cx="4680439" cy="5862"/>
                <wp:effectExtent l="0" t="0" r="25400" b="32385"/>
                <wp:wrapNone/>
                <wp:docPr id="1" name="Straight Connector 1"/>
                <wp:cNvGraphicFramePr/>
                <a:graphic xmlns:a="http://schemas.openxmlformats.org/drawingml/2006/main">
                  <a:graphicData uri="http://schemas.microsoft.com/office/word/2010/wordprocessingShape">
                    <wps:wsp>
                      <wps:cNvCnPr/>
                      <wps:spPr>
                        <a:xfrm>
                          <a:off x="0" y="0"/>
                          <a:ext cx="4680439"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F550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0.85pt,.25pt" to="49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" strokecolor="black [3200]" strokeweight=".5pt">
                <v:stroke joinstyle="miter"/>
              </v:line>
            </w:pict>
          </mc:Fallback>
        </mc:AlternateContent>
      </w:r>
      <w:r w:rsidR="00AD30DC" w:rsidRPr="00FE7BF6">
        <w:rPr>
          <w:b/>
          <w:bCs/>
        </w:rPr>
        <w:t>Introduction</w:t>
      </w:r>
      <w:r w:rsidR="00AD30DC" w:rsidRPr="00FE7BF6">
        <w:t xml:space="preserve">   </w:t>
      </w:r>
    </w:p>
    <w:bookmarkEnd w:id="0"/>
    <w:p w14:paraId="1D9FA34F" w14:textId="41786D9E" w:rsidR="00CC3469" w:rsidRPr="00FE7BF6" w:rsidRDefault="00D46071" w:rsidP="00EC7BA8">
      <w:pPr>
        <w:spacing w:before="240" w:after="60" w:line="240" w:lineRule="atLeast"/>
        <w:ind w:right="476" w:firstLine="0"/>
        <w:rPr>
          <w:rFonts w:eastAsia="Palatino Linotype"/>
          <w:noProof w:val="0"/>
          <w:u w:color="000000"/>
          <w:bdr w:val="nil"/>
          <w:lang w:eastAsia="en-US"/>
          <w14:textOutline w14:w="0" w14:cap="flat" w14:cmpd="sng" w14:algn="ctr">
            <w14:noFill/>
            <w14:prstDash w14:val="solid"/>
            <w14:bevel/>
          </w14:textOutline>
        </w:rPr>
      </w:pPr>
      <w:r>
        <w:rPr>
          <w:rFonts w:eastAsia="Palatino Linotype"/>
          <w:noProof w:val="0"/>
          <w:u w:color="000000"/>
          <w:bdr w:val="nil"/>
          <w:lang w:eastAsia="en-US"/>
          <w14:textOutline w14:w="0" w14:cap="flat" w14:cmpd="sng" w14:algn="ctr">
            <w14:noFill/>
            <w14:prstDash w14:val="solid"/>
            <w14:bevel/>
          </w14:textOutline>
        </w:rPr>
        <w:t xml:space="preserve">       </w:t>
      </w:r>
      <w:r w:rsidR="00CC3469" w:rsidRPr="00FE7BF6">
        <w:rPr>
          <w:rFonts w:eastAsia="Palatino Linotype"/>
          <w:noProof w:val="0"/>
          <w:u w:color="000000"/>
          <w:bdr w:val="nil"/>
          <w:lang w:eastAsia="en-US"/>
          <w14:textOutline w14:w="0" w14:cap="flat" w14:cmpd="sng" w14:algn="ctr">
            <w14:noFill/>
            <w14:prstDash w14:val="solid"/>
            <w14:bevel/>
          </w14:textOutline>
        </w:rPr>
        <w:t>Human malocclusion is a displacement of the teeth and jaws that can impair the quality of life and cause altered facial features, reduced masticatory efficiency, and an increased risk of teeth destruction</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{"citationItems":[{"id":"ITEM-1","itemData":{"DOI":"10.1186/1472-6831-13-3","ISSN":"14726831","PMID":"23295063","abstract":"Background: Aesthetic alterations in the face can be self-perceived and can affect quality of life. For young people, physical attractiveness is an important factor affecting social relationships. The aim of this study was to estimate the prevalence of malocclusion, identify the most common types and test its association with oral aesthetic self-perception in 18 to 21 year-old population of male young adults. Methods: A cross-sectional study was carried out involving 138 Brazilian Army soldiers. Data collection included socio demographic profile, malocclusion status through the Dental Aesthetic Index (DAI) and oral aesthetic self-perception as indicated by the Oral Aesthetic Subjective Impact Scale (OASIS). The chi-square and Fisher's exact test were used to test for homogeneity of proportions. The stepwise multivariate logistic regression analysis was used to test for the relationship between the poorer oral aesthetic self-perception and parental and soldier's education, per capita income, history of caries in all teeth and only on anterior teeth, dental trauma, previous orthodontic treatment and malocclusion.Results: The prevalence of malocclusion was 45.6%. Incisor teeth crowding and misalignment of lower incisors were the most common types of malocclusions. A statistically significant and independent association between malocclusion and poorer oral aesthetic self-perception in the multivariate analysis was observed. Subjects with severe malocclusion conditions showed 88% higher prevalence [prevalence ratio =1.88 (95% CI, 1.30 - 2.72); p = 0.001] of poorer aesthetic self-perception comparing to those with minor malocclusion. Conclusions: A high prevalence of malocclusion was observed. The young adults presenting severe malocclusion had a higher and independent prevalence of poorer oral aesthetic self-perception. © 2013 Claudino and Traebert; licensee BioMed Central Ltd.","author":[{"dropping-particle":"","family":"Claudino","given":"Dikson","non-dropping-particle":"","parse-names":false,"suffix":""},{"dropping-particle":"","family":"Traebert","given":"Jefferson","non-dropping-particle":"","parse-names":false,"suffix":""}],"container-title":"BMC Oral Health","id":"ITEM-1","issue":"1","issued":{"date-parts":[["2013"]]},"page":"2-7","title":"Malocclusion, dental aesthetic self-perception and quality of life in a 18 to 21 year-old population: A cross section study","type":"article-journal","volume":"13"},"uris":["http://www.mendeley.com/documents/?uuid=d3d942ff-d96b-4412-9d5c-bd6e0df139e3"]}],"mendeley":{"formattedCitation":"&lt;sup&gt;1&lt;/sup&gt;","plainTextFormattedCitation":"1","previouslyFormattedCitation":"&lt;sup&gt;1&lt;/sup&gt;"},"properties":{"noteIndex":0},"schema":"https://github.com/citation-style-language/schema/raw/master/csl-citation.json"}</w:instrTex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CC3469" w:rsidRPr="00FE7BF6">
        <w:rPr>
          <w:rFonts w:eastAsia="Palatino Linotype"/>
          <w:u w:color="000000"/>
          <w:bdr w:val="nil"/>
          <w:vertAlign w:val="superscript"/>
          <w:lang w:eastAsia="en-US"/>
          <w14:textOutline w14:w="0" w14:cap="flat" w14:cmpd="sng" w14:algn="ctr">
            <w14:noFill/>
            <w14:prstDash w14:val="solid"/>
            <w14:bevel/>
          </w14:textOutline>
        </w:rPr>
        <w:t>1</w:t>
      </w:r>
      <w:r w:rsidR="00CC3469" w:rsidRPr="00FE7BF6">
        <w:rPr>
          <w:rFonts w:eastAsia="Palatino Linotype"/>
          <w:noProof w:val="0"/>
          <w:u w:color="000000"/>
          <w:bdr w:val="nil"/>
          <w:lang w:eastAsia="en-US"/>
          <w14:textOutline w14:w="0" w14:cap="flat" w14:cmpd="sng" w14:algn="ctr">
            <w14:noFill/>
            <w14:prstDash w14:val="solid"/>
            <w14:bevel/>
          </w14:textOutline>
        </w:rPr>
        <w:fldChar w:fldCharType="end"/>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 xml:space="preserve"> Dental arches can vary in size and shape based on the various ethnic and racial groups' exposure to various environmental variables, genetic background, and developmental traits </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{"citationItems":[{"id":"ITEM-1","itemData":{"DOI":"10.3390/diagnostics12102352","ISSN":"20754418","abstract":"Background: This study aims to identify mandibular clinical arch forms and dimensions in the Iraqi population. Materials and methods: The study sample consisted of pre-treatment mandibular study models of the Iraqi population. The most labial aspect of 13 proximal contact areas was digitized using AutoCAD software to determine the clinical bracket point for every tooth. The dental arches were classified into three types: tapered, ovoid, and square. The arch dimensions were identified using four linear and two proportional measurements. Results: A total of 1005 study models were collected. The arch forms were distributed as ovoid (47%), tapered (36.2%), and square (16.8%), with no significant difference in the distribution between Arabs and Kurds. The ovoid arch form was predominant in class I and class III malocclusion, while the tapered arch form was predominant in class II. All the linear measurements were greater in the males than in the females. The arch widths decreased as the arch form shifted from square to ovoid to tapered, while the arch depths showed the reverse relation. Conclusions: According to this study, ovoid and tapered archwires should suit the majority of Iraqi patients. The ovoid arch form was the most predominant in the subjects with class I and class III malocclusion, while the tapered arch form was the most predominant in the class II subjects.","author":[{"dropping-particle":"","family":"Ali","given":"Munther A.","non-dropping-particle":"","parse-names":false,"suffix":""},{"dropping-particle":"","family":"Yassir","given":"Yassir A.","non-dropping-particle":"","parse-names":false,"suffix":""}],"container-title":"Diagnostics","id":"ITEM-1","issue":"10","issued":{"date-parts":[["2022"]]},"page":"1-15","title":"Mandibular Clinical Arch Forms in Iraqi Population: A National Survey","type":"article-journal","volume":"12"},"uris":["http://www.mendeley.com/documents/?uuid=2c09bbbd-3973-487e-a61e-669d56b81b07"]}],"mendeley":{"formattedCitation":"&lt;sup&gt;2&lt;/sup&gt;","plainTextFormattedCitation":"2","previouslyFormattedCitation":"&lt;sup&gt;2&lt;/sup&gt;"},"properties":{"noteIndex":0},"schema":"https://github.com/citation-style-language/schema/raw/master/csl-citation.json"}</w:instrTex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9B4B23" w:rsidRPr="00FE7BF6">
        <w:rPr>
          <w:rFonts w:eastAsia="Palatino Linotype"/>
          <w:u w:color="000000"/>
          <w:bdr w:val="nil"/>
          <w:vertAlign w:val="superscript"/>
          <w:lang w:eastAsia="en-US"/>
          <w14:textOutline w14:w="0" w14:cap="flat" w14:cmpd="sng" w14:algn="ctr">
            <w14:noFill/>
            <w14:prstDash w14:val="solid"/>
            <w14:bevel/>
          </w14:textOutline>
        </w:rPr>
        <w:t>2</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end"/>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 xml:space="preserve">. Numerous genetic and environmental factors that occurred at various gestational stages contributed to a variety of malformations in the dentofacial and craniofacial structures </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{"citationItems":[{"id":"ITEM-1","itemData":{"DOI":"10.12816/0033214","ISSN":"16800087","author":[{"dropping-particle":"","family":"Najm","given":"Areej A.","non-dropping-particle":"","parse-names":false,"suffix":""},{"dropping-particle":"","family":"Mahdi","given":"Alaa Salah","non-dropping-particle":"","parse-names":false,"suffix":""},{"dropping-particle":"","family":"Al-Sudani","given":"Resha J.","non-dropping-particle":"","parse-names":false,"suffix":""}],"container-title":"Journal of Baghdad College of Dentistry","id":"ITEM-1","issue":"4","issued":{"date-parts":[["2016"]]},"page":"72-76","title":"Prevalence of Dental Anomalies among Iraqi Dental Students","type":"article-journal","volume":"28"},"uris":["http://www.mendeley.com/documents/?uuid=e3e5b1bd-d812-45e5-acf1-27d0a4105374"]}],"mendeley":{"formattedCitation":"&lt;sup&gt;3&lt;/sup&gt;","plainTextFormattedCitation":"3","previouslyFormattedCitation":"&lt;sup&gt;3&lt;/sup&gt;"},"properties":{"noteIndex":0},"schema":"https://github.com/citation-style-language/schema/raw/master/csl-citation.json"}</w:instrTex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9B4B23" w:rsidRPr="00FE7BF6">
        <w:rPr>
          <w:rFonts w:eastAsia="Palatino Linotype"/>
          <w:u w:color="000000"/>
          <w:bdr w:val="nil"/>
          <w:vertAlign w:val="superscript"/>
          <w:lang w:eastAsia="en-US"/>
          <w14:textOutline w14:w="0" w14:cap="flat" w14:cmpd="sng" w14:algn="ctr">
            <w14:noFill/>
            <w14:prstDash w14:val="solid"/>
            <w14:bevel/>
          </w14:textOutline>
        </w:rPr>
        <w:t>3</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end"/>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CC3469" w:rsidRPr="00FE7BF6">
        <w:rPr>
          <w:rFonts w:eastAsia="Palatino Linotype"/>
          <w:noProof w:val="0"/>
          <w:u w:color="000000"/>
          <w:bdr w:val="nil"/>
          <w:lang w:eastAsia="en-US"/>
          <w14:textOutline w14:w="0" w14:cap="flat" w14:cmpd="sng" w14:algn="ctr">
            <w14:noFill/>
            <w14:prstDash w14:val="solid"/>
            <w14:bevel/>
          </w14:textOutline>
        </w:rPr>
        <w:t>The unexpected appearance of the condition is simply one aspect of the complicated etiology; another is the vast range of dentofacial variation seen in afflicted people. This complexity helps to explain why the majority of malocclusion therapy strategies focus on the symptoms rather than the causal relationship</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{"citationItems":[{"id":"ITEM-1","itemData":{"DOI":"10.1111/ocr.12083","ISSN":"16016343","PMID":"25865537","abstract":"Malocclusions affect individuals worldwide, resulting in compromised function and esthetics. Understanding the etiological factors contributing to the variation in dentofacial morphology associated with malocclusions is the key to develop novel treatment approaches. Advances in dentofacial phenotyping, which is the comprehensive characterization of hard and soft tissue variation in the craniofacial complex, together with the acquisition of large-scale genomic data have started to unravel genetic mechanisms underlying facial variation. Knowledge on the genetics of human malocclusion is limited even though results attained thus far are encouraging, with promising opportunities for future research. This review summarizes the most common dentofacial variations associated with malocclusions and reviews the current knowledge of the roles of genes in the development of malocclusions. Lastly, this review will describe ways to advance malocclusion research, following examples from the expanding fields of phenomics and genomic medicine, which aim to better patient outcomes.","author":[{"dropping-particle":"","family":"Moreno Uribe","given":"L. M.","non-dropping-particle":"","parse-names":false,"suffix":""},{"dropping-particle":"","family":"Miller","given":"S. F.","non-dropping-particle":"","parse-names":false,"suffix":""}],"container-title":"Orthodontics and Craniofacial Research","id":"ITEM-1","issue":"S1","issued":{"date-parts":[["2015"]]},"page":"91-99","title":"Genetics of the dentofacial variation in human malocclusion","type":"article-journal","volume":"18"},"uris":["http://www.mendeley.com/documents/?uuid=ea617132-103b-4f9b-96d5-62056d316fd8"]}],"mendeley":{"formattedCitation":"&lt;sup&gt;4&lt;/sup&gt;","plainTextFormattedCitation":"4","previouslyFormattedCitation":"&lt;sup&gt;2&lt;/sup&gt;"},"properties":{"noteIndex":0},"schema":"https://github.com/citation-style-language/schema/raw/master/csl-citation.json"}</w:instrTex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4</w:t>
      </w:r>
      <w:r w:rsidR="00CC3469" w:rsidRPr="00FE7BF6">
        <w:rPr>
          <w:rFonts w:eastAsia="Palatino Linotype"/>
          <w:noProof w:val="0"/>
          <w:u w:color="000000"/>
          <w:bdr w:val="nil"/>
          <w:lang w:eastAsia="en-US"/>
          <w14:textOutline w14:w="0" w14:cap="flat" w14:cmpd="sng" w14:algn="ctr">
            <w14:noFill/>
            <w14:prstDash w14:val="solid"/>
            <w14:bevel/>
          </w14:textOutline>
        </w:rPr>
        <w:fldChar w:fldCharType="end"/>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CC3469" w:rsidRPr="00FE7BF6">
        <w:rPr>
          <w:rFonts w:eastAsia="Palatino Linotype"/>
          <w:noProof w:val="0"/>
          <w:u w:color="000000"/>
          <w:bdr w:val="nil"/>
          <w:lang w:eastAsia="en-US"/>
          <w14:textOutline w14:w="0" w14:cap="flat" w14:cmpd="sng" w14:algn="ctr">
            <w14:noFill/>
            <w14:prstDash w14:val="solid"/>
            <w14:bevel/>
          </w14:textOutline>
        </w:rPr>
        <w:t>Despite that, knowledge about the causes of malocclusions is essential to comprehending the biology behind craniofacial development and dental relationships. Understanding the biology will help the development of better preventative and treatment strategies, reducing 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he burden of this disorder </w:t>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CC3469"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b/>
          <w:bCs/>
          <w:noProof w:val="0"/>
          <w:u w:color="000000"/>
          <w:bdr w:val="nil"/>
          <w:vertAlign w:val="superscript"/>
          <w:lang w:eastAsia="en-US"/>
          <w14:textOutline w14:w="0" w14:cap="flat" w14:cmpd="sng" w14:algn="ctr">
            <w14:noFill/>
            <w14:prstDash w14:val="solid"/>
            <w14:bevel/>
          </w14:textOutline>
        </w:rPr>
        <w:instrText>ADDIN CSL_CITATION {"citationItems":[{"id":"ITEM-1","itemData":{"DOI":"10.1111/ocr.12083","ISSN":"16016343","PMID":"25865537","abstract":"Malocclusions affect individuals worldwide, resulting in compromised function and esthetics. Understanding the etiological factors contributing to the variation in dentofacial morphology associated with malocclusions is the key to develop novel treatment approaches. Advances in dentofacial phenotyping, which is the comprehensive characterization of hard and soft tissue variation in the craniofacial complex, together with the acquisition of large-scale genomic data have started to unravel genetic mechanisms underlying facial variation. Knowledge on the genetics of human malocclusion is limited even though results attained thus far are encouraging, with promising opportunities for future research. This review summarizes the most common dentofacial variations associated with malocclusions and reviews the current knowledge of the roles of genes in the development of malocclusions. Lastly, this review will describe ways to advance malocclusion research, following examples from the expanding fields of phenomics and genomic medicine, which aim to better patient outcomes.","author":[{"dropping-particle":"","family":"Moreno Uribe","given":"L. M.","non-dropping-particle":"","parse-names":false,"suffix":""},{"dropping-particle":"","family":"Miller","given":"S. F.","non-dropping-particle":"","parse-names":false,"suffix":""}],"container-title":"Orthodontics and Craniofacial Research","id":"ITEM-1","issue":"S1","issued":{"date-parts":[["2015"]]},"page":"91-99","title":"Genetics of the dentofacial variation in human malocclusion","type":"article-journal","volume":"18"},"uris":["http://www.mendeley.com/documents/?uuid=ea617132-103b-4f9b-96d5-62056d316fd8"]}],"mendeley":{"formattedCitation":"&lt;sup&gt;4&lt;/sup&gt;","plainTextFormattedCitation":"4","previouslyFormattedCitation":"&lt;sup&gt;2&lt;/sup&gt;"},"properties":{"noteIndex":0},"schema":"https://github.com/citation-style-language/schema/raw/master/csl-citation.json"}</w:instrText>
      </w:r>
      <w:r w:rsidR="00CC3469"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bCs/>
          <w:u w:color="000000"/>
          <w:bdr w:val="nil"/>
          <w:vertAlign w:val="superscript"/>
          <w:lang w:eastAsia="en-US"/>
          <w14:textOutline w14:w="0" w14:cap="flat" w14:cmpd="sng" w14:algn="ctr">
            <w14:noFill/>
            <w14:prstDash w14:val="solid"/>
            <w14:bevel/>
          </w14:textOutline>
        </w:rPr>
        <w:t>4</w:t>
      </w:r>
      <w:r w:rsidR="00CC3469" w:rsidRPr="00FE7BF6">
        <w:rPr>
          <w:rFonts w:eastAsia="Palatino Linotype"/>
          <w:noProof w:val="0"/>
          <w:u w:color="000000"/>
          <w:bdr w:val="nil"/>
          <w:lang w:eastAsia="en-US"/>
          <w14:textOutline w14:w="0" w14:cap="flat" w14:cmpd="sng" w14:algn="ctr">
            <w14:noFill/>
            <w14:prstDash w14:val="solid"/>
            <w14:bevel/>
          </w14:textOutline>
        </w:rPr>
        <w:fldChar w:fldCharType="end"/>
      </w:r>
      <w:r w:rsidR="00CC3469"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p>
    <w:p w14:paraId="74C65004" w14:textId="1F0040E1" w:rsidR="007C30F0" w:rsidRPr="00FE7BF6" w:rsidRDefault="00CC3469" w:rsidP="00EC7BA8">
      <w:pPr>
        <w:spacing w:before="240" w:after="60" w:line="240" w:lineRule="atLeast"/>
        <w:ind w:right="476" w:firstLine="0"/>
        <w:rPr>
          <w:rFonts w:eastAsia="Palatino Linotype"/>
          <w:noProof w:val="0"/>
          <w:u w:color="000000"/>
          <w:bdr w:val="nil"/>
          <w:lang w:eastAsia="en-US"/>
          <w14:textOutline w14:w="0" w14:cap="flat" w14:cmpd="sng" w14:algn="ctr">
            <w14:noFill/>
            <w14:prstDash w14:val="solid"/>
            <w14:bevel/>
          </w14:textOutline>
        </w:rPr>
      </w:pPr>
      <w:r w:rsidRPr="00FE7BF6">
        <w:rPr>
          <w:rFonts w:eastAsia="Palatino Linotype"/>
          <w:noProof w:val="0"/>
          <w:u w:color="000000"/>
          <w:bdr w:val="nil"/>
          <w:lang w:eastAsia="en-US"/>
          <w14:textOutline w14:w="0" w14:cap="flat" w14:cmpd="sng" w14:algn="ctr">
            <w14:noFill/>
            <w14:prstDash w14:val="solid"/>
            <w14:bevel/>
          </w14:textOutline>
        </w:rPr>
        <w:t xml:space="preserve">In accordance with Angles classification, Class III malocclusion refers to conditions in which the mandibular first molar is positioned </w:t>
      </w:r>
      <w:proofErr w:type="spellStart"/>
      <w:r w:rsidRPr="00FE7BF6">
        <w:rPr>
          <w:rFonts w:eastAsia="Palatino Linotype"/>
          <w:noProof w:val="0"/>
          <w:u w:color="000000"/>
          <w:bdr w:val="nil"/>
          <w:lang w:eastAsia="en-US"/>
          <w14:textOutline w14:w="0" w14:cap="flat" w14:cmpd="sng" w14:algn="ctr">
            <w14:noFill/>
            <w14:prstDash w14:val="solid"/>
            <w14:bevel/>
          </w14:textOutline>
        </w:rPr>
        <w:t>mesially</w:t>
      </w:r>
      <w:proofErr w:type="spellEnd"/>
      <w:r w:rsidRPr="00FE7BF6">
        <w:rPr>
          <w:rFonts w:eastAsia="Palatino Linotype"/>
          <w:noProof w:val="0"/>
          <w:u w:color="000000"/>
          <w:bdr w:val="nil"/>
          <w:lang w:eastAsia="en-US"/>
          <w14:textOutline w14:w="0" w14:cap="flat" w14:cmpd="sng" w14:algn="ctr">
            <w14:noFill/>
            <w14:prstDash w14:val="solid"/>
            <w14:bevel/>
          </w14:textOutline>
        </w:rPr>
        <w:t xml:space="preserve"> in relation to the maxillary first molar</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BE2297" w:rsidRPr="00FE7BF6">
        <w:rPr>
          <w:rFonts w:eastAsia="Palatino Linotype"/>
          <w:noProof w:val="0"/>
          <w:u w:color="000000"/>
          <w:bdr w:val="nil"/>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BE2297" w:rsidRPr="00FE7BF6">
        <w:rPr>
          <w:rFonts w:eastAsia="Palatino Linotype"/>
          <w:noProof w:val="0"/>
          <w:u w:color="000000"/>
          <w:bdr w:val="nil"/>
          <w:lang w:eastAsia="en-US"/>
          <w14:textOutline w14:w="0" w14:cap="flat" w14:cmpd="sng" w14:algn="ctr">
            <w14:noFill/>
            <w14:prstDash w14:val="solid"/>
            <w14:bevel/>
          </w14:textOutline>
        </w:rPr>
        <w:t>c</w:t>
      </w:r>
      <w:r w:rsidRPr="00FE7BF6">
        <w:rPr>
          <w:rFonts w:eastAsia="Palatino Linotype"/>
          <w:noProof w:val="0"/>
          <w:u w:color="000000"/>
          <w:bdr w:val="nil"/>
          <w:lang w:eastAsia="en-US"/>
          <w14:textOutline w14:w="0" w14:cap="flat" w14:cmpd="sng" w14:algn="ctr">
            <w14:noFill/>
            <w14:prstDash w14:val="solid"/>
            <w14:bevel/>
          </w14:textOutline>
        </w:rPr>
        <w:t>linically, class III malocclusions can be linked with a wide range of skeletal and dental morphological variations</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b/>
          <w:bCs/>
          <w:noProof w:val="0"/>
          <w:u w:color="000000"/>
          <w:bdr w:val="nil"/>
          <w:vertAlign w:val="superscript"/>
          <w:lang w:eastAsia="en-US"/>
          <w14:textOutline w14:w="0" w14:cap="flat" w14:cmpd="sng" w14:algn="ctr">
            <w14:noFill/>
            <w14:prstDash w14:val="solid"/>
            <w14:bevel/>
          </w14:textOutline>
        </w:rPr>
        <w:instrText>ADDIN CSL_CITATION {"citationItems":[{"id":"ITEM-1","itemData":{"DOI":"10.1016/j.ajodo.2007.10.061","ISSN":"08895406","PMID":"19892290","abstract":"Introduction: We aimed to investigate the skeletal morphology underlying Class III malocclusion in a random population of young white men. Methods: We randomly selected 3358 Swiss Army recruits and examined them clinically. Of 77 (2.3%) with Class III malocclusion, 57 agreed to have lateral cephalograms. Mandibular and maxillary relationships (ANB, Wits), positions (SNB, SNA), and relative sizes (GoPg and ANS-PNS related to SN) were determined. Comparison with normal values showed discrepancies. Results: In 75.4% of the subjects, the Class III malocclusion had a skeletal origin. The discrepancy was mainly (47.4%) due to mandibular prognathism or growth excess (10.5% prognathism, 15.8% macrognathia, or 21.1% both), whereas the maxilla alone accounted for 19.3% (10.5% retrognathism, 8.8% micrognathia), and there was a combination of mandibular and maxillary disharmony in 8.7%. Dental compensation was common, with proclined maxillary incisors in 42.1% and retroclined mandibular incisors in 26.3%. Conclusions: About 75% of the Class III malocclusion had skeletal origin in our subjects, mainly due to mandibular prognathism or macrognathia. The different skeletal types proposed in our study can give guidance in treatment planning and the evaluation of treatment effects in Class III malocclusion and in genetic studies. © 2009 American Association of Orthodontists.","author":[{"dropping-particle":"","family":"Staudt","given":"Christine Bettina","non-dropping-particle":"","parse-names":false,"suffix":""},{"dropping-particle":"","family":"Kiliaridis","given":"Stavros","non-dropping-particle":"","parse-names":false,"suffix":""}],"container-title":"American Journal of Orthodontics and Dentofacial Orthopedics","id":"ITEM-1","issue":"5","issued":{"date-parts":[["2009"]]},"page":"715-721","publisher":"American Association of Orthodontists","title":"Different skeletal types underlying Class III malocclusion in a random population","type":"article-journal","volume":"136"},"uris":["http://www.mendeley.com/documents/?uuid=6c32e1e1-3111-49e0-a66a-95e6dfa3c94c"]}],"mendeley":{"formattedCitation":"&lt;sup&gt;5&lt;/sup&gt;","plainTextFormattedCitation":"5","previouslyFormattedCitation":"&lt;sup&gt;3&lt;/sup&gt;"},"properties":{"noteIndex":0},"schema":"https://github.com/citation-style-language/schema/raw/master/csl-citation.json"}</w:instrTex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bCs/>
          <w:u w:color="000000"/>
          <w:bdr w:val="nil"/>
          <w:vertAlign w:val="superscript"/>
          <w:lang w:eastAsia="en-US"/>
          <w14:textOutline w14:w="0" w14:cap="flat" w14:cmpd="sng" w14:algn="ctr">
            <w14:noFill/>
            <w14:prstDash w14:val="solid"/>
            <w14:bevel/>
          </w14:textOutline>
        </w:rPr>
        <w:t>5</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According to reports, mandibular prognathism or macrognathia account for around 75% of Class III occurrences in male Caucasians that have a skeletal basis</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b/>
          <w:bCs/>
          <w:noProof w:val="0"/>
          <w:u w:color="000000"/>
          <w:bdr w:val="nil"/>
          <w:vertAlign w:val="superscript"/>
          <w:lang w:eastAsia="en-US"/>
          <w14:textOutline w14:w="0" w14:cap="flat" w14:cmpd="sng" w14:algn="ctr">
            <w14:noFill/>
            <w14:prstDash w14:val="solid"/>
            <w14:bevel/>
          </w14:textOutline>
        </w:rPr>
        <w:instrText>ADDIN CSL_CITATION {"citationItems":[{"id":"ITEM-1","itemData":{"DOI":"10.1016/j.ajodo.2007.10.061","ISSN":"08895406","PMID":"19892290","abstract":"Introduction: We aimed to investigate the skeletal morphology underlying Class III malocclusion in a random population of young white men. Methods: We randomly selected 3358 Swiss Army recruits and examined them clinically. Of 77 (2.3%) with Class III malocclusion, 57 agreed to have lateral cephalograms. Mandibular and maxillary relationships (ANB, Wits), positions (SNB, SNA), and relative sizes (GoPg and ANS-PNS related to SN) were determined. Comparison with normal values showed discrepancies. Results: In 75.4% of the subjects, the Class III malocclusion had a skeletal origin. The discrepancy was mainly (47.4%) due to mandibular prognathism or growth excess (10.5% prognathism, 15.8% macrognathia, or 21.1% both), whereas the maxilla alone accounted for 19.3% (10.5% retrognathism, 8.8% micrognathia), and there was a combination of mandibular and maxillary disharmony in 8.7%. Dental compensation was common, with proclined maxillary incisors in 42.1% and retroclined mandibular incisors in 26.3%. Conclusions: About 75% of the Class III malocclusion had skeletal origin in our subjects, mainly due to mandibular prognathism or macrognathia. The different skeletal types proposed in our study can give guidance in treatment planning and the evaluation of treatment effects in Class III malocclusion and in genetic studies. © 2009 American Association of Orthodontists.","author":[{"dropping-particle":"","family":"Staudt","given":"Christine Bettina","non-dropping-particle":"","parse-names":false,"suffix":""},{"dropping-particle":"","family":"Kiliaridis","given":"Stavros","non-dropping-particle":"","parse-names":false,"suffix":""}],"container-title":"American Journal of Orthodontics and Dentofacial Orthopedics","id":"ITEM-1","issue":"5","issued":{"date-parts":[["2009"]]},"page":"715-721","publisher":"American Association of Orthodontists","title":"Different skeletal types underlying Class III malocclusion in a random population","type":"article-journal","volume":"136"},"uris":["http://www.mendeley.com/documents/?uuid=6c32e1e1-3111-49e0-a66a-95e6dfa3c94c"]}],"mendeley":{"formattedCitation":"&lt;sup&gt;5&lt;/sup&gt;","plainTextFormattedCitation":"5","previouslyFormattedCitation":"&lt;sup&gt;3&lt;/sup&gt;"},"properties":{"noteIndex":0},"schema":"https://github.com/citation-style-language/schema/raw/master/csl-citation.json"}</w:instrTex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bCs/>
          <w:u w:color="000000"/>
          <w:bdr w:val="nil"/>
          <w:vertAlign w:val="superscript"/>
          <w:lang w:eastAsia="en-US"/>
          <w14:textOutline w14:w="0" w14:cap="flat" w14:cmpd="sng" w14:algn="ctr">
            <w14:noFill/>
            <w14:prstDash w14:val="solid"/>
            <w14:bevel/>
          </w14:textOutline>
        </w:rPr>
        <w:t>5</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 xml:space="preserve"> The most difficult malocclusions to diagnose and treatment are those in the Class III category </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{"citationItems":[{"id":"ITEM-1","itemData":{"DOI":"10.26477/jbcd.v34i1.3087","ISSN":"16800087","abstract":"Background: Although the new treatment methods developed in recent years are aiming to minimize the need for cooperation of the patients; however, the latter still important factor the treatment. The aim of the study was to evaluate the cooperation level of Class III maloc-clusion patients with orthodontic treatment. Materials and methods: This study followed a cross-sectional style; the targeted population was patients with Class III malocclusion who were treated with three different types of orthopaedic appliances. Four questionnaires were delivered to the patient, patient’s parents, and orthodontists. Statistical analyses of the study were performed with SPSS 20.0 software. Descriptive analyses were presented using fre-quency, percentage, mean, and standard deviation. Results: The study included a total of 183 orthodontic patients in the final analysis. Slightly more than half of the participants were females (52.46%; n=96) and the rest were male (47.54%; n=87). The highest frequency ac-cording to the device type was FM (50.8%) followed by CC (31.1%) while FM+RME wearer was 18.1%. Male expressed significantly higher (p","author":[{"dropping-particle":"","family":"Abdulhussein","given":"Zaid Alaa","non-dropping-particle":"","parse-names":false,"suffix":""},{"dropping-particle":"","family":"Aksoy","given":"Alev","non-dropping-particle":"","parse-names":false,"suffix":""}],"container-title":"Journal of Baghdad College of Dentistry","id":"ITEM-1","issue":"1","issued":{"date-parts":[["2022"]]},"page":"12-24","title":"Compliance of Patients with Class III Malocclusion to Orthodontic Treatment","type":"article-journal","volume":"34"},"uris":["http://www.mendeley.com/documents/?uuid=f840e9c4-d6de-4b81-8ee4-029665ddfe36"]}],"mendeley":{"formattedCitation":"&lt;sup&gt;6&lt;/sup&gt;","plainTextFormattedCitation":"6","previouslyFormattedCitation":"&lt;sup&gt;6&lt;/sup&gt;"},"properties":{"noteIndex":0},"schema":"https://github.com/citation-style-language/schema/raw/master/csl-citation.json"}</w:instrTex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9B4B23" w:rsidRPr="00FE7BF6">
        <w:rPr>
          <w:rFonts w:eastAsia="Palatino Linotype"/>
          <w:u w:color="000000"/>
          <w:bdr w:val="nil"/>
          <w:vertAlign w:val="superscript"/>
          <w:lang w:eastAsia="en-US"/>
          <w14:textOutline w14:w="0" w14:cap="flat" w14:cmpd="sng" w14:algn="ctr">
            <w14:noFill/>
            <w14:prstDash w14:val="solid"/>
            <w14:bevel/>
          </w14:textOutline>
        </w:rPr>
        <w:t>6</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end"/>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Class III malocclusion’s genesis has been linked in a number of previous research projects to a variety of inheritance patterns in both genetics and environment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{"citationItems":[{"id":"ITEM-1","itemData":{"DOI":"10.1093/ortho/26.2.103","ISSN":"0301228X","PMID":"10420244","abstract":"The relative contribution of genes and the environment to the aetiology of malocclusion has been a matter of controversy throughout the twentieth century. Genetic mechanisms are clearly predominant during embryonic craniofacial morphogenesis, but environment is also thought to influence dentofacial morphology postnatally, particularly during facial growth. Orthodontic and orthopaedic techniques are used in the treatment of malocclusion and other dentofacial deformities, but with limited effectiveness. The key to the determination of the aetiology of malocclusion, and its treatability lies in the ability to differentiate the effect of genes and environment on the craniofacial skeleton in a particular individual. Our ability to do this is limited by our lack of knowledge on the genetic mechanisms that control facial growth and lack of scientific evidence for the influence of environmental factors on human craniofacial morphogenesis.","author":[{"dropping-particle":"","family":"Mossey","given":"P. A.","non-dropping-particle":"","parse-names":false,"suffix":""}],"container-title":"British journal of orthodontics","id":"ITEM-1","issue":"2","issued":{"date-parts":[["1999"]]},"page":"103-113","title":"The heritability of malocclusion: Part 1--Genetics, principles and terminology.","type":"article-journal","volume":"26"},"uris":["http://www.mendeley.com/documents/?uuid=cb058b7b-fb14-49a2-ba28-097759e37436"]}],"mendeley":{"formattedCitation":"&lt;sup&gt;7&lt;/sup&gt;","plainTextFormattedCitation":"7","previouslyFormattedCitation":"&lt;sup&gt;4&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7</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 xml:space="preserve">Skeletal Class III malocclusion has a substantial hereditary component phenotypic, </w:t>
      </w:r>
      <w:r w:rsidRPr="00FE7BF6">
        <w:rPr>
          <w:rFonts w:eastAsia="Palatino Linotype"/>
          <w:noProof w:val="0"/>
          <w:u w:color="000000"/>
          <w:bdr w:val="nil"/>
          <w:lang w:eastAsia="en-US"/>
          <w14:textOutline w14:w="0" w14:cap="flat" w14:cmpd="sng" w14:algn="ctr">
            <w14:noFill/>
            <w14:prstDash w14:val="solid"/>
            <w14:bevel/>
          </w14:textOutline>
        </w:rPr>
        <w:lastRenderedPageBreak/>
        <w:t>which has long been recognized</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b/>
          <w:bCs/>
          <w:noProof w:val="0"/>
          <w:u w:color="000000"/>
          <w:bdr w:val="nil"/>
          <w:vertAlign w:val="superscript"/>
          <w:lang w:eastAsia="en-US"/>
          <w14:textOutline w14:w="0" w14:cap="flat" w14:cmpd="sng" w14:algn="ctr">
            <w14:noFill/>
            <w14:prstDash w14:val="solid"/>
            <w14:bevel/>
          </w14:textOutline>
        </w:rPr>
        <w:instrText>ADDIN CSL_CITATION {"citationItems":[{"id":"ITEM-1","itemData":{"DOI":"10.1111/j.1601-6343.2010.01485.x","ISSN":"16016335","PMID":"20477965","abstract":"To present current views that are pertinent to the investigation of the genetic etiology of Class III malocclusion. Class III malocclusion is thought to be a polygenic disorder that results from an interaction between susceptibility genes and environmental factors. However, research on family pedigrees has indicated that Class III malocclusion might also be a monogenic dominant phenotype. Recent studies have reported that genes that encode specific growth factors or other signaling molecules are involved in condylar growth under mechanical strain. These genes, which include Indian hedgehog homolog (IHH), parathyroid-hormone like hormone (PTHLH), insulin-like growth factor-1 (IGF-1), and vascular endothelial growth factor (VEGF), and variations in their levels of expression play an important role in the etiology of Class III malocclusion. In addition, genome-wide scans have revealed chromosomal loci that are associated with Class III malocclusion. It is likely that chromosomal loci 1p36, 12q23, and 12q13 harbor genes that confer susceptibility to Class III malocclusion. In a case-control association study, we identified erythrocyte membrane protein band 4.1 (EPB41) to be a new positional candidate gene that might be involved in susceptibility to mandibular prognathism. Most of the earlier studies on the genetic etiology of Class III malocclusion have focused on the patterns of inheritance of this phenotype. Recent investigations have focused on understanding the genetic variables that affect Class III malocclusion and might provide new approaches to uncovering the genetic etiology of this phenotype. © 2010 John Wiley &amp; Sons A/S.","author":[{"dropping-particle":"","family":"Xue","given":"F.","non-dropping-particle":"","parse-names":false,"suffix":""},{"dropping-particle":"","family":"Wong","given":"R. W.K.","non-dropping-particle":"","parse-names":false,"suffix":""},{"dropping-particle":"","family":"Rabie","given":"A. B.M.","non-dropping-particle":"","parse-names":false,"suffix":""}],"container-title":"Orthodontics and Craniofacial Research","id":"ITEM-1","issue":"2","issued":{"date-parts":[["2010"]]},"page":"69-74","title":"Genes, genetics, and Class III malocclusion","type":"article-journal","volume":"13"},"uris":["http://www.mendeley.com/documents/?uuid=78840d00-5da9-45c8-b6e6-075f4877adc1"]}],"mendeley":{"formattedCitation":"&lt;sup&gt;8&lt;/sup&gt;","plainTextFormattedCitation":"8","previouslyFormattedCitation":"&lt;sup&gt;5&lt;/sup&gt;"},"properties":{"noteIndex":0},"schema":"https://github.com/citation-style-language/schema/raw/master/csl-citation.json"}</w:instrTex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bCs/>
          <w:u w:color="000000"/>
          <w:bdr w:val="nil"/>
          <w:vertAlign w:val="superscript"/>
          <w:lang w:eastAsia="en-US"/>
          <w14:textOutline w14:w="0" w14:cap="flat" w14:cmpd="sng" w14:algn="ctr">
            <w14:noFill/>
            <w14:prstDash w14:val="solid"/>
            <w14:bevel/>
          </w14:textOutline>
        </w:rPr>
        <w:t>8</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009B4B23" w:rsidRPr="00FE7BF6">
        <w:rPr>
          <w:rFonts w:eastAsia="Palatino Linotype"/>
          <w:noProof w:val="0"/>
          <w:u w:color="000000"/>
          <w:bdr w:val="nil"/>
          <w:lang w:eastAsia="en-US"/>
          <w14:textOutline w14:w="0" w14:cap="flat" w14:cmpd="sng" w14:algn="ctr">
            <w14:noFill/>
            <w14:prstDash w14:val="solid"/>
            <w14:bevel/>
          </w14:textOutline>
        </w:rPr>
        <w:t xml:space="preserve">Hereditary variables are implicated in the development of skeletal malocclusions, according to twin and family genetic investigations </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{"citationItems":[{"id":"ITEM-1","itemData":{"DOI":"10.1016/j.sjbs.2022.103405","ISSN":"1319562X","abstract":"Introduction: The genetic impact directly or indirectly predefines maxillofacial dimensions, potentially leading to an inappropriate relationship of the jaws and subsequently skeletal malocclusion. Previous studies focused mainly on genetic polymorphisms and class III malocclusion. This study was set out to investigate the association between genetic polymorphisms in two genes BMP2 (rs235768) and MYO1H (rs11066446) with Class II division 1 malocclusion, skeletal variation in vertical plane, and maxillary and mandibular jaws length. Subjects and methods: Sixty patients classified as Skeletal Class I (n = 30) and Class II division 1 (n = 30) were recruited. DNA was extracted from saliva and analyzed by Sanger sequencing. Lateral cephalometric radiographs were measured for the anterio-posterior relationship of maxillary and mandibular arch using digital tracing. Hardy-Weinberg equilibrium analysis of genotype frequencies was performed using Chi-square test to compare genotype distribution among groups and multiple logistic regression analysis adjusted by gender was also performed. Results: The rs235768 polymorphism in BMP2 was associated with hypodivergent face, increased maxillary length, and decreased mandibular length. Meanwhile, the rs11066446 polymorphism in MYO1H was associated with decreased mandibular length. New polymorphism was identified in MYO1H (rs10850090) in association with decreased mandibular length. Conclusion: A potential association between polymorpisms in BMP2 rs235768 and MOY1H rs11066446 and rs10850090 and Class II division 1 skeletal malocclusion related phenotypes exists, however, the degree of it has to be further investigated and yet to be discovered.","author":[{"dropping-particle":"","family":"Hussein","given":"Ali S.","non-dropping-particle":"","parse-names":false,"suffix":""},{"dropping-particle":"","family":"Porntaveetus","given":"Thantrira","non-dropping-particle":"","parse-names":false,"suffix":""},{"dropping-particle":"","family":"Abid","given":"Mushriq","non-dropping-particle":"","parse-names":false,"suffix":""}],"container-title":"Saudi Journal of Biological Sciences","id":"ITEM-1","issue":"10","issued":{"date-parts":[["2022"]]},"page":"103405","publisher":"The Author(s)","title":"The association of polymorphisms in BMP2/MYO1H and skeletal Class II div.1 maxillary and mandibular dimensions. A preliminary ‘report","type":"article-journal","volume":"29"},"uris":["http://www.mendeley.com/documents/?uuid=802d7c3f-b9dc-4723-a400-4d5978192942"]}],"mendeley":{"formattedCitation":"&lt;sup&gt;9&lt;/sup&gt;","plainTextFormattedCitation":"9","previouslyFormattedCitation":"&lt;sup&gt;9&lt;/sup&gt;"},"properties":{"noteIndex":0},"schema":"https://github.com/citation-style-language/schema/raw/master/csl-citation.json"}</w:instrTex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9B4B23" w:rsidRPr="00FE7BF6">
        <w:rPr>
          <w:rFonts w:eastAsia="Palatino Linotype"/>
          <w:u w:color="000000"/>
          <w:bdr w:val="nil"/>
          <w:vertAlign w:val="superscript"/>
          <w:lang w:eastAsia="en-US"/>
          <w14:textOutline w14:w="0" w14:cap="flat" w14:cmpd="sng" w14:algn="ctr">
            <w14:noFill/>
            <w14:prstDash w14:val="solid"/>
            <w14:bevel/>
          </w14:textOutline>
        </w:rPr>
        <w:t>9</w:t>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end"/>
      </w:r>
      <w:r w:rsidR="009B4B23"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w:t>
      </w:r>
    </w:p>
    <w:p w14:paraId="52194DAA" w14:textId="78849350" w:rsidR="00CC3469" w:rsidRPr="00FE7BF6" w:rsidRDefault="00CC3469" w:rsidP="00EC7BA8">
      <w:pPr>
        <w:spacing w:before="240" w:after="60" w:line="240" w:lineRule="atLeast"/>
        <w:ind w:right="476" w:firstLine="0"/>
        <w:rPr>
          <w:rFonts w:eastAsia="Palatino Linotype"/>
          <w:noProof w:val="0"/>
          <w:u w:color="000000"/>
          <w:bdr w:val="nil"/>
          <w:lang w:eastAsia="en-US"/>
          <w14:textOutline w14:w="0" w14:cap="flat" w14:cmpd="sng" w14:algn="ctr">
            <w14:noFill/>
            <w14:prstDash w14:val="solid"/>
            <w14:bevel/>
          </w14:textOutline>
        </w:rPr>
      </w:pPr>
      <w:r w:rsidRPr="00FE7BF6">
        <w:rPr>
          <w:rFonts w:eastAsia="Palatino Linotype"/>
          <w:noProof w:val="0"/>
          <w:u w:color="000000"/>
          <w:bdr w:val="nil"/>
          <w:lang w:eastAsia="en-US"/>
          <w14:textOutline w14:w="0" w14:cap="flat" w14:cmpd="sng" w14:algn="ctr">
            <w14:noFill/>
            <w14:prstDash w14:val="solid"/>
            <w14:bevel/>
          </w14:textOutline>
        </w:rPr>
        <w:t>By reviewing a person’s full genome or doing a candidate gene study, one may compare phenotypes versus genetics. Despite decreasing genotyping costs, a genome-wide comparison would need very high sample numbers to attain statistical power, which would need highly expensive. Instead, for phenotype-genotype correlations, a candidate gene approach is nevertheless an advantageous and affordable method, a more targeted and potent analysis may be carried out with moderate sample numbers by selecting candidate genes that have been shown to contribute to the growth and development of the craniofacial complex</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b/>
          <w:bCs/>
          <w:noProof w:val="0"/>
          <w:u w:color="000000"/>
          <w:bdr w:val="nil"/>
          <w:vertAlign w:val="superscript"/>
          <w:lang w:eastAsia="en-US"/>
          <w14:textOutline w14:w="0" w14:cap="flat" w14:cmpd="sng" w14:algn="ctr">
            <w14:noFill/>
            <w14:prstDash w14:val="solid"/>
            <w14:bevel/>
          </w14:textOutline>
        </w:rPr>
        <w:instrText>ADDIN CSL_CITATION {"citationItems":[{"id":"ITEM-1","itemData":{"DOI":"10.1056/nejmra0905980","ISSN":"0028-4793","abstract":"10.1056/NEJMra0905980","author":[{"dropping-particle":"","family":"Manolio","given":"Teri A.","non-dropping-particle":"","parse-names":false,"suffix":""}],"container-title":"New England Journal of Medicine","id":"ITEM-1","issue":"2","issued":{"date-parts":[["2010"]]},"page":"166-176","title":"Genomewide Association Studies and Assessment of the Risk of Disease","type":"article-journal","volume":"363"},"uris":["http://www.mendeley.com/documents/?uuid=0b454cb2-6d0e-4a11-b0ad-9e38c2eeeea8"]}],"mendeley":{"formattedCitation":"&lt;sup&gt;10&lt;/sup&gt;","plainTextFormattedCitation":"10","previouslyFormattedCitation":"&lt;sup&gt;6&lt;/sup&gt;"},"properties":{"noteIndex":0},"schema":"https://github.com/citation-style-language/schema/raw/master/csl-citation.json"}</w:instrText>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bCs/>
          <w:u w:color="000000"/>
          <w:bdr w:val="nil"/>
          <w:vertAlign w:val="superscript"/>
          <w:lang w:eastAsia="en-US"/>
          <w14:textOutline w14:w="0" w14:cap="flat" w14:cmpd="sng" w14:algn="ctr">
            <w14:noFill/>
            <w14:prstDash w14:val="solid"/>
            <w14:bevel/>
          </w14:textOutline>
        </w:rPr>
        <w:t>10</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b/>
          <w:bCs/>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r w:rsidR="009B4B23" w:rsidRPr="00FE7BF6">
        <w:rPr>
          <w:rFonts w:eastAsia="Palatino Linotype"/>
          <w:noProof w:val="0"/>
          <w:u w:color="000000"/>
          <w:bdr w:val="nil"/>
          <w:lang w:eastAsia="en-US"/>
          <w14:textOutline w14:w="0" w14:cap="flat" w14:cmpd="sng" w14:algn="ctr">
            <w14:noFill/>
            <w14:prstDash w14:val="solid"/>
            <w14:bevel/>
          </w14:textOutline>
        </w:rPr>
        <w:t xml:space="preserve"> The single nucleotide polymorphisms </w:t>
      </w:r>
      <w:r w:rsidRPr="00FE7BF6">
        <w:rPr>
          <w:rFonts w:eastAsia="Palatino Linotype"/>
          <w:noProof w:val="0"/>
          <w:u w:color="000000"/>
          <w:bdr w:val="nil"/>
          <w:lang w:eastAsia="en-US"/>
          <w14:textOutline w14:w="0" w14:cap="flat" w14:cmpd="sng" w14:algn="ctr">
            <w14:noFill/>
            <w14:prstDash w14:val="solid"/>
            <w14:bevel/>
          </w14:textOutline>
        </w:rPr>
        <w:t>SNPs are locations in the genetic sequence where a single base pair set varies across people out of the three billion base pairs that make up each human. The frequency of these alleles, which are different variants of the same sequence, may be higher among people who exhibit a certain trait. Because these characteristics are unusual, it is important to explore these rare alleles as well</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{"citationItems":[{"id":"ITEM-1","itemData":{"DOI":"10.1056/nejmra0905980","ISSN":"0028-4793","abstract":"10.1056/NEJMra0905980","author":[{"dropping-particle":"","family":"Manolio","given":"Teri A.","non-dropping-particle":"","parse-names":false,"suffix":""}],"container-title":"New England Journal of Medicine","id":"ITEM-1","issue":"2","issued":{"date-parts":[["2010"]]},"page":"166-176","title":"Genomewide Association Studies and Assessment of the Risk of Disease","type":"article-journal","volume":"363"},"uris":["http://www.mendeley.com/documents/?uuid=0b454cb2-6d0e-4a11-b0ad-9e38c2eeeea8"]}],"mendeley":{"formattedCitation":"&lt;sup&gt;10&lt;/sup&gt;","plainTextFormattedCitation":"10","previouslyFormattedCitation":"&lt;sup&gt;6&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10</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When the phenotype deviates further from the population norm, there are typically more uncommon alleles present, the SNPs of interest can be found close to a gene or inside a regulatory region, and their correlation with the desired trait may suggest a causal relationship or increased risk of acquiring that trait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{"citationItems":[{"id":"ITEM-1","itemData":{"DOI":"10.1056/nejmra0905980","ISSN":"0028-4793","abstract":"10.1056/NEJMra0905980","author":[{"dropping-particle":"","family":"Manolio","given":"Teri A.","non-dropping-particle":"","parse-names":false,"suffix":""}],"container-title":"New England Journal of Medicine","id":"ITEM-1","issue":"2","issued":{"date-parts":[["2010"]]},"page":"166-176","title":"Genomewide Association Studies and Assessment of the Risk of Disease","type":"article-journal","volume":"363"},"uris":["http://www.mendeley.com/documents/?uuid=0b454cb2-6d0e-4a11-b0ad-9e38c2eeeea8"]}],"mendeley":{"formattedCitation":"&lt;sup&gt;10&lt;/sup&gt;","plainTextFormattedCitation":"10","previouslyFormattedCitation":"&lt;sup&gt;6&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10</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p>
    <w:p w14:paraId="2FC560C1" w14:textId="2437B380" w:rsidR="00CC3469" w:rsidRPr="00FE7BF6" w:rsidRDefault="00CC3469" w:rsidP="00EC7BA8">
      <w:pPr>
        <w:spacing w:before="240" w:after="60" w:line="240" w:lineRule="atLeast"/>
        <w:ind w:right="476" w:firstLine="0"/>
        <w:rPr>
          <w:rFonts w:eastAsia="Palatino Linotype"/>
          <w:noProof w:val="0"/>
          <w:u w:color="000000"/>
          <w:bdr w:val="nil"/>
          <w:vertAlign w:val="superscript"/>
          <w:lang w:eastAsia="en-US"/>
          <w14:textOutline w14:w="0" w14:cap="flat" w14:cmpd="sng" w14:algn="ctr">
            <w14:noFill/>
            <w14:prstDash w14:val="solid"/>
            <w14:bevel/>
          </w14:textOutline>
        </w:rPr>
      </w:pPr>
      <w:r w:rsidRPr="00FE7BF6">
        <w:rPr>
          <w:rFonts w:eastAsia="Palatino Linotype"/>
          <w:noProof w:val="0"/>
          <w:u w:color="000000"/>
          <w:bdr w:val="nil"/>
          <w:lang w:eastAsia="en-US"/>
          <w14:textOutline w14:w="0" w14:cap="flat" w14:cmpd="sng" w14:algn="ctr">
            <w14:noFill/>
            <w14:prstDash w14:val="solid"/>
            <w14:bevel/>
          </w14:textOutline>
        </w:rPr>
        <w:t>Association studies often use the candidate gene strategy to directly assess the impact of genetic variants in a gene. This approach is often used to identify genetic risk factors for complex illnesses</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{"citationItems":[{"id":"ITEM-1","itemData":{"DOI":"10.3389/fphar.2013.00040","ISSN":"16639812","abstract":"Understanding the causes of variation in clinical manifestations of disease should allow for design of new or improved therapeutic strategies to treat the disease. If variation is caused by genetic differences between individuals, identifying the genes involved should present therapeutic targets, either in the proteins encoded by those genes or the pathways in which they function. The technology to identify and genotype the millions of variants present in the human genome has evolved rapidly over the past two decades. Originally only a small number of polymorphisms in a small number of subjects could be studied realistically, but speed and scope have increased nearly as dramatically as cost has decreased, making it feasible to determine genotypes of hundreds of thousands of polymorphisms in thousands of subjects. The use of such genetic technology has been applied to cystic fibrosis (CF) to identify genetic variation that alters the outcome of this single gene disorder. Candidate gene strategies to identify these variants, referred to as \"modifier genes,\" has yielded several genes that act in pathways known to be important in CF and for these the clinical implications are relatively clear. More recently, whole-genome surveys that probe hundreds of thousands of variants have been carried out and have identified genes and chromosomal regions for which a role in CF is not at all clear. Identification of these genes is exciting, as it provides the possibility for new areas of therapeutic development. © 2013 Weiler and Drumm.","author":[{"dropping-particle":"","family":"Weiler","given":"Colleen A.","non-dropping-particle":"","parse-names":false,"suffix":""},{"dropping-particle":"","family":"Drumm","given":"Mitchell L.","non-dropping-particle":"","parse-names":false,"suffix":""}],"container-title":"Frontiers in Pharmacology","id":"ITEM-1","issue":"April","issued":{"date-parts":[["2013"]]},"page":"1-19","title":"Genetic influences on cystic fibrosis lung disease severity","type":"article-journal","volume":"4 APR"},"uris":["http://www.mendeley.com/documents/?uuid=0d491296-dde2-4da8-9d36-4eef8ca07956"]}],"mendeley":{"formattedCitation":"&lt;sup&gt;11&lt;/sup&gt;","plainTextFormattedCitation":"11","previouslyFormattedCitation":"&lt;sup&gt;7&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11</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Studies on candidate genes may involve the identification of genetic variants in one or more genes, including single nucleotide polymorphisms (SNPs), which are typically variants with functional significance (e.g., alter protein function or expression). Such research may be carried out affordably and quickly</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{"citationItems":[{"id":"ITEM-1","itemData":{"DOI":"10.3389/fphar.2013.00040","ISSN":"16639812","abstract":"Understanding the causes of variation in clinical manifestations of disease should allow for design of new or improved therapeutic strategies to treat the disease. If variation is caused by genetic differences between individuals, identifying the genes involved should present therapeutic targets, either in the proteins encoded by those genes or the pathways in which they function. The technology to identify and genotype the millions of variants present in the human genome has evolved rapidly over the past two decades. Originally only a small number of polymorphisms in a small number of subjects could be studied realistically, but speed and scope have increased nearly as dramatically as cost has decreased, making it feasible to determine genotypes of hundreds of thousands of polymorphisms in thousands of subjects. The use of such genetic technology has been applied to cystic fibrosis (CF) to identify genetic variation that alters the outcome of this single gene disorder. Candidate gene strategies to identify these variants, referred to as \"modifier genes,\" has yielded several genes that act in pathways known to be important in CF and for these the clinical implications are relatively clear. More recently, whole-genome surveys that probe hundreds of thousands of variants have been carried out and have identified genes and chromosomal regions for which a role in CF is not at all clear. Identification of these genes is exciting, as it provides the possibility for new areas of therapeutic development. © 2013 Weiler and Drumm.","author":[{"dropping-particle":"","family":"Weiler","given":"Colleen A.","non-dropping-particle":"","parse-names":false,"suffix":""},{"dropping-particle":"","family":"Drumm","given":"Mitchell L.","non-dropping-particle":"","parse-names":false,"suffix":""}],"container-title":"Frontiers in Pharmacology","id":"ITEM-1","issue":"April","issued":{"date-parts":[["2013"]]},"page":"1-19","title":"Genetic influences on cystic fibrosis lung disease severity","type":"article-journal","volume":"4 APR"},"uris":["http://www.mendeley.com/documents/?uuid=0d491296-dde2-4da8-9d36-4eef8ca07956"]}],"mendeley":{"formattedCitation":"&lt;sup&gt;11&lt;/sup&gt;","plainTextFormattedCitation":"11","previouslyFormattedCitation":"&lt;sup&gt;7&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11</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lang w:eastAsia="en-US"/>
          <w14:textOutline w14:w="0" w14:cap="flat" w14:cmpd="sng" w14:algn="ctr">
            <w14:noFill/>
            <w14:prstDash w14:val="solid"/>
            <w14:bevel/>
          </w14:textOutline>
        </w:rPr>
        <w:t>The main issue with candidate gene studies is that choosing a candidate gene requires that researchers have a thorough grasp of the pathophysiology of the disorder</w:t>
      </w:r>
      <w:r w:rsidR="007C30F0" w:rsidRPr="00FE7BF6">
        <w:rPr>
          <w:rFonts w:eastAsia="Palatino Linotype"/>
          <w:noProof w:val="0"/>
          <w:u w:color="000000"/>
          <w:bdr w:val="nil"/>
          <w:lang w:eastAsia="en-US"/>
          <w14:textOutline w14:w="0" w14:cap="flat" w14:cmpd="sng" w14:algn="ctr">
            <w14:noFill/>
            <w14:prstDash w14:val="solid"/>
            <w14:bevel/>
          </w14:textOutline>
        </w:rPr>
        <w:t xml:space="preserve"> </w:t>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begin" w:fldLock="1"/>
      </w:r>
      <w:r w:rsidR="00EC7BA8" w:rsidRPr="00FE7BF6">
        <w:rPr>
          <w:rFonts w:eastAsia="Palatino Linotype"/>
          <w:noProof w:val="0"/>
          <w:u w:color="000000"/>
          <w:bdr w:val="nil"/>
          <w:vertAlign w:val="superscript"/>
          <w:lang w:eastAsia="en-US"/>
          <w14:textOutline w14:w="0" w14:cap="flat" w14:cmpd="sng" w14:algn="ctr">
            <w14:noFill/>
            <w14:prstDash w14:val="solid"/>
            <w14:bevel/>
          </w14:textOutline>
        </w:rPr>
        <w:instrText>ADDIN CSL_CITATION {"citationItems":[{"id":"ITEM-1","itemData":{"DOI":"10.1016/j.ajog.2017.12.009","ISBN":"2752013000","ISSN":"10976868","PMID":"29248470","abstract":"Evidence from family and twin-based studies provide strong support for a significant contribution of maternal and fetal genetics to the timing of parturition and spontaneous preterm birth. However, there has been only modest success in the discovery of genes predisposing to preterm birth, despite increasing sophistication of genetic and genomic technology. In contrast, DNA variants associated with other traits/diseases have been identified. For example, there is overwhelming evidence that suggests that the nature and intensity of an inflammatory response in adults and children are under genetic control. Because inflammation is often invoked as an etiologic factor in spontaneous preterm birth, the question of whether spontaneous preterm birth has a genetic predisposition in the case of pathologic inflammation has been of long-standing interest to investigators. Here, we review various genetic approaches used for the discovery of preterm birth genetic variants in the context of inflammation-associated spontaneous preterm birth. Candidate gene studies have sought genetic variants that regulate inflammation in the mother and fetus; however, the promising findings have often not been replicated. Genome-wide association studies, an approach to the identification of chromosomal loci responsible for complex traits, have also not yielded compelling evidence for DNA variants predisposing to preterm birth. A recent genome-wide association study that included a large number of White women (&gt;40,000) revealed that maternal loci contribute to preterm birth. Although none of these loci harbored genes directly related to innate immunity, the results were replicated. Another approach to identify DNA variants predisposing to preterm birth is whole exome sequencing, which examines the DNA sequence of protein-coding regions of the genome. A recent whole exome sequencing study identified rare mutations in genes encoding for proteins involved in the negative regulation (dampening) of the innate immune response (eg, CARD6, CARD8, NLRP10, NLRP12, NOD2, TLR10) and antimicrobial peptide/proteins (eg, DEFB1, MBL2). These findings support the concept that preterm labor, at least in part, has an inflammatory etiology, which can be induced by pathogens (ie, intraamniotic infection) or “danger signals” (alarmins) released during cellular stress or necrosis (ie, sterile intraamniotic inflammation). These findings support the notion that preterm birth has a polygenic basis that involves…","author":[{"dropping-particle":"","family":"Strauss","given":"Jerome F.","non-dropping-particle":"","parse-names":false,"suffix":""},{"dropping-particle":"","family":"Romero","given":"Roberto","non-dropping-particle":"","parse-names":false,"suffix":""},{"dropping-particle":"","family":"Gomez-Lopez","given":"Nardhy","non-dropping-particle":"","parse-names":false,"suffix":""},{"dropping-particle":"","family":"Haymond-Thornburg","given":"Hannah","non-dropping-particle":"","parse-names":false,"suffix":""},{"dropping-particle":"","family":"Modi","given":"Bhavi P.","non-dropping-particle":"","parse-names":false,"suffix":""},{"dropping-particle":"","family":"Teves","given":"Maria E.","non-dropping-particle":"","parse-names":false,"suffix":""},{"dropping-particle":"","family":"Pearson","given":"Laurel N.","non-dropping-particle":"","parse-names":false,"suffix":""},{"dropping-particle":"","family":"York","given":"Timothy P.","non-dropping-particle":"","parse-names":false,"suffix":""},{"dropping-particle":"","family":"Schenkein","given":"Harvey A.","non-dropping-particle":"","parse-names":false,"suffix":""}],"container-title":"American Journal of Obstetrics and Gynecology","id":"ITEM-1","issue":"3","issued":{"date-parts":[["2018"]]},"number-of-pages":"294-314.e2","publisher":"Elsevier Inc.","title":"Spontaneous preterm birth: advances toward the discovery of genetic predisposition","type":"book","volume":"218"},"uris":["http://www.mendeley.com/documents/?uuid=10f419d6-7cae-4637-8db2-1c7b9e83a4c6"]}],"mendeley":{"formattedCitation":"&lt;sup&gt;12&lt;/sup&gt;","plainTextFormattedCitation":"12","previouslyFormattedCitation":"&lt;sup&gt;8&lt;/sup&gt;"},"properties":{"noteIndex":0},"schema":"https://github.com/citation-style-language/schema/raw/master/csl-citation.json"}</w:instrText>
      </w:r>
      <w:r w:rsidRPr="00FE7BF6">
        <w:rPr>
          <w:rFonts w:eastAsia="Palatino Linotype"/>
          <w:noProof w:val="0"/>
          <w:u w:color="000000"/>
          <w:bdr w:val="nil"/>
          <w:vertAlign w:val="superscript"/>
          <w:lang w:eastAsia="en-US"/>
          <w14:textOutline w14:w="0" w14:cap="flat" w14:cmpd="sng" w14:algn="ctr">
            <w14:noFill/>
            <w14:prstDash w14:val="solid"/>
            <w14:bevel/>
          </w14:textOutline>
        </w:rPr>
        <w:fldChar w:fldCharType="separate"/>
      </w:r>
      <w:r w:rsidR="00EC7BA8" w:rsidRPr="00FE7BF6">
        <w:rPr>
          <w:rFonts w:eastAsia="Palatino Linotype"/>
          <w:u w:color="000000"/>
          <w:bdr w:val="nil"/>
          <w:vertAlign w:val="superscript"/>
          <w:lang w:eastAsia="en-US"/>
          <w14:textOutline w14:w="0" w14:cap="flat" w14:cmpd="sng" w14:algn="ctr">
            <w14:noFill/>
            <w14:prstDash w14:val="solid"/>
            <w14:bevel/>
          </w14:textOutline>
        </w:rPr>
        <w:t>12</w:t>
      </w:r>
      <w:r w:rsidRPr="00FE7BF6">
        <w:rPr>
          <w:rFonts w:eastAsia="Palatino Linotype"/>
          <w:noProof w:val="0"/>
          <w:u w:color="000000"/>
          <w:bdr w:val="nil"/>
          <w:lang w:eastAsia="en-US"/>
          <w14:textOutline w14:w="0" w14:cap="flat" w14:cmpd="sng" w14:algn="ctr">
            <w14:noFill/>
            <w14:prstDash w14:val="solid"/>
            <w14:bevel/>
          </w14:textOutline>
        </w:rPr>
        <w:fldChar w:fldCharType="end"/>
      </w:r>
      <w:r w:rsidRPr="00FE7BF6">
        <w:rPr>
          <w:rFonts w:eastAsia="Palatino Linotype"/>
          <w:noProof w:val="0"/>
          <w:u w:color="000000"/>
          <w:bdr w:val="nil"/>
          <w:vertAlign w:val="superscript"/>
          <w:lang w:eastAsia="en-US"/>
          <w14:textOutline w14:w="0" w14:cap="flat" w14:cmpd="sng" w14:algn="ctr">
            <w14:noFill/>
            <w14:prstDash w14:val="solid"/>
            <w14:bevel/>
          </w14:textOutline>
        </w:rPr>
        <w:t>)</w:t>
      </w:r>
      <w:r w:rsidR="007C30F0" w:rsidRPr="00FE7BF6">
        <w:rPr>
          <w:rFonts w:eastAsia="Palatino Linotype"/>
          <w:noProof w:val="0"/>
          <w:u w:color="000000"/>
          <w:bdr w:val="nil"/>
          <w:lang w:eastAsia="en-US"/>
          <w14:textOutline w14:w="0" w14:cap="flat" w14:cmpd="sng" w14:algn="ctr">
            <w14:noFill/>
            <w14:prstDash w14:val="solid"/>
            <w14:bevel/>
          </w14:textOutline>
        </w:rPr>
        <w:t>.</w:t>
      </w:r>
    </w:p>
    <w:p w14:paraId="421D9877" w14:textId="2839B79D" w:rsidR="00CC3469" w:rsidRPr="00FE7BF6" w:rsidRDefault="009B4B23" w:rsidP="00CC3469">
      <w:pPr>
        <w:spacing w:before="240" w:after="60" w:line="240" w:lineRule="atLeast"/>
        <w:ind w:right="476" w:firstLine="0"/>
        <w:rPr>
          <w:rFonts w:eastAsia="Palatino Linotype"/>
          <w:noProof w:val="0"/>
          <w:u w:color="000000"/>
          <w:bdr w:val="nil"/>
          <w:lang w:eastAsia="en-US"/>
          <w14:textOutline w14:w="0" w14:cap="flat" w14:cmpd="sng" w14:algn="ctr">
            <w14:noFill/>
            <w14:prstDash w14:val="solid"/>
            <w14:bevel/>
          </w14:textOutline>
        </w:rPr>
      </w:pPr>
      <w:r w:rsidRPr="00FE7BF6">
        <w:rPr>
          <w:rFonts w:eastAsia="Palatino Linotype"/>
          <w:noProof w:val="0"/>
          <w:u w:color="000000"/>
          <w:bdr w:val="nil"/>
          <w:lang w:eastAsia="en-US"/>
          <w14:textOutline w14:w="0" w14:cap="flat" w14:cmpd="sng" w14:algn="ctr">
            <w14:noFill/>
            <w14:prstDash w14:val="solid"/>
            <w14:bevel/>
          </w14:textOutline>
        </w:rPr>
        <w:t>Thus,</w:t>
      </w:r>
      <w:r w:rsidRPr="00FE7BF6">
        <w:rPr>
          <w:rFonts w:eastAsia="Calibri"/>
          <w:noProof w:val="0"/>
          <w:color w:val="auto"/>
          <w:sz w:val="24"/>
          <w:szCs w:val="24"/>
          <w:lang w:eastAsia="en-US"/>
        </w:rPr>
        <w:t xml:space="preserve"> </w:t>
      </w:r>
      <w:r w:rsidRPr="00FE7BF6">
        <w:rPr>
          <w:rFonts w:eastAsia="Palatino Linotype"/>
          <w:noProof w:val="0"/>
          <w:u w:color="000000"/>
          <w:bdr w:val="nil"/>
          <w:lang w:eastAsia="en-US"/>
          <w14:textOutline w14:w="0" w14:cap="flat" w14:cmpd="sng" w14:algn="ctr">
            <w14:noFill/>
            <w14:prstDash w14:val="solid"/>
            <w14:bevel/>
          </w14:textOutline>
        </w:rPr>
        <w:t xml:space="preserve">according to Weaver study results that found the same SNPs (rs2249492 in </w:t>
      </w:r>
      <w:r w:rsidRPr="00FE7BF6">
        <w:rPr>
          <w:rFonts w:eastAsia="Palatino Linotype"/>
          <w:i/>
          <w:iCs/>
          <w:noProof w:val="0"/>
          <w:u w:color="000000"/>
          <w:bdr w:val="nil"/>
          <w:lang w:eastAsia="en-US"/>
          <w14:textOutline w14:w="0" w14:cap="flat" w14:cmpd="sng" w14:algn="ctr">
            <w14:noFill/>
            <w14:prstDash w14:val="solid"/>
            <w14:bevel/>
          </w14:textOutline>
        </w:rPr>
        <w:t>COLA1A</w:t>
      </w:r>
      <w:r w:rsidRPr="00FE7BF6">
        <w:rPr>
          <w:rFonts w:eastAsia="Palatino Linotype"/>
          <w:noProof w:val="0"/>
          <w:u w:color="000000"/>
          <w:bdr w:val="nil"/>
          <w:lang w:eastAsia="en-US"/>
          <w14:textOutline w14:w="0" w14:cap="flat" w14:cmpd="sng" w14:algn="ctr">
            <w14:noFill/>
            <w14:prstDash w14:val="solid"/>
            <w14:bevel/>
          </w14:textOutline>
        </w:rPr>
        <w:t xml:space="preserve">, rs4434184 in </w:t>
      </w:r>
      <w:r w:rsidRPr="00FE7BF6">
        <w:rPr>
          <w:rFonts w:eastAsia="Palatino Linotype"/>
          <w:i/>
          <w:iCs/>
          <w:noProof w:val="0"/>
          <w:u w:color="000000"/>
          <w:bdr w:val="nil"/>
          <w:lang w:eastAsia="en-US"/>
          <w14:textOutline w14:w="0" w14:cap="flat" w14:cmpd="sng" w14:algn="ctr">
            <w14:noFill/>
            <w14:prstDash w14:val="solid"/>
            <w14:bevel/>
          </w14:textOutline>
        </w:rPr>
        <w:t>SOX2</w:t>
      </w:r>
      <w:r w:rsidRPr="00FE7BF6">
        <w:rPr>
          <w:rFonts w:eastAsia="Palatino Linotype"/>
          <w:noProof w:val="0"/>
          <w:u w:color="000000"/>
          <w:bdr w:val="nil"/>
          <w:lang w:eastAsia="en-US"/>
          <w14:textOutline w14:w="0" w14:cap="flat" w14:cmpd="sng" w14:algn="ctr">
            <w14:noFill/>
            <w14:prstDash w14:val="solid"/>
            <w14:bevel/>
          </w14:textOutline>
        </w:rPr>
        <w:t xml:space="preserve">, rs2162540 in </w:t>
      </w:r>
      <w:r w:rsidRPr="00FE7BF6">
        <w:rPr>
          <w:rFonts w:eastAsia="Palatino Linotype"/>
          <w:i/>
          <w:iCs/>
          <w:noProof w:val="0"/>
          <w:u w:color="000000"/>
          <w:bdr w:val="nil"/>
          <w:lang w:eastAsia="en-US"/>
          <w14:textOutline w14:w="0" w14:cap="flat" w14:cmpd="sng" w14:algn="ctr">
            <w14:noFill/>
            <w14:prstDash w14:val="solid"/>
            <w14:bevel/>
          </w14:textOutline>
        </w:rPr>
        <w:t>FGFR2</w:t>
      </w:r>
      <w:r w:rsidRPr="00FE7BF6">
        <w:rPr>
          <w:rFonts w:eastAsia="Palatino Linotype"/>
          <w:noProof w:val="0"/>
          <w:u w:color="000000"/>
          <w:bdr w:val="nil"/>
          <w:lang w:eastAsia="en-US"/>
          <w14:textOutline w14:w="0" w14:cap="flat" w14:cmpd="sng" w14:algn="ctr">
            <w14:noFill/>
            <w14:prstDash w14:val="solid"/>
            <w14:bevel/>
          </w14:textOutline>
        </w:rPr>
        <w:t xml:space="preserve">, rs11696257 in </w:t>
      </w:r>
      <w:r w:rsidRPr="00FE7BF6">
        <w:rPr>
          <w:rFonts w:eastAsia="Palatino Linotype"/>
          <w:i/>
          <w:iCs/>
          <w:noProof w:val="0"/>
          <w:u w:color="000000"/>
          <w:bdr w:val="nil"/>
          <w:lang w:eastAsia="en-US"/>
          <w14:textOutline w14:w="0" w14:cap="flat" w14:cmpd="sng" w14:algn="ctr">
            <w14:noFill/>
            <w14:prstDash w14:val="solid"/>
            <w14:bevel/>
          </w14:textOutline>
        </w:rPr>
        <w:t>MAFB</w:t>
      </w:r>
      <w:r w:rsidRPr="00FE7BF6">
        <w:rPr>
          <w:rFonts w:eastAsia="Palatino Linotype"/>
          <w:noProof w:val="0"/>
          <w:u w:color="000000"/>
          <w:bdr w:val="nil"/>
          <w:lang w:eastAsia="en-US"/>
          <w14:textOutline w14:w="0" w14:cap="flat" w14:cmpd="sng" w14:algn="ctr">
            <w14:noFill/>
            <w14:prstDash w14:val="solid"/>
            <w14:bevel/>
          </w14:textOutline>
        </w:rPr>
        <w:t xml:space="preserve">, and rs881301 in </w:t>
      </w:r>
      <w:r w:rsidRPr="00FE7BF6">
        <w:rPr>
          <w:rFonts w:eastAsia="Palatino Linotype"/>
          <w:i/>
          <w:iCs/>
          <w:noProof w:val="0"/>
          <w:u w:color="000000"/>
          <w:bdr w:val="nil"/>
          <w:lang w:eastAsia="en-US"/>
          <w14:textOutline w14:w="0" w14:cap="flat" w14:cmpd="sng" w14:algn="ctr">
            <w14:noFill/>
            <w14:prstDash w14:val="solid"/>
            <w14:bevel/>
          </w14:textOutline>
        </w:rPr>
        <w:t>FGFR1</w:t>
      </w:r>
      <w:r w:rsidRPr="00FE7BF6">
        <w:rPr>
          <w:rFonts w:eastAsia="Palatino Linotype"/>
          <w:noProof w:val="0"/>
          <w:u w:color="000000"/>
          <w:bdr w:val="nil"/>
          <w:lang w:eastAsia="en-US"/>
          <w14:textOutline w14:w="0" w14:cap="flat" w14:cmpd="sng" w14:algn="ctr">
            <w14:noFill/>
            <w14:prstDash w14:val="solid"/>
            <w14:bevel/>
          </w14:textOutline>
        </w:rPr>
        <w:t xml:space="preserve">) in American people who had Class III skeletal malocclusion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13&lt;/sup&gt;"},"properties":{"noteIndex":0},"schema":"https://github.com/citation-style-language/schema/raw/master/csl-citation.json"}</w:instrText>
      </w:r>
      <w:r w:rsidRPr="00FE7BF6">
        <w:rPr>
          <w:vertAlign w:val="superscript"/>
        </w:rPr>
        <w:fldChar w:fldCharType="separate"/>
      </w:r>
      <w:r w:rsidRPr="00FE7BF6">
        <w:rPr>
          <w:vertAlign w:val="superscript"/>
        </w:rPr>
        <w:t>13</w:t>
      </w:r>
      <w:r w:rsidRPr="00FE7BF6">
        <w:fldChar w:fldCharType="end"/>
      </w:r>
      <w:r w:rsidRPr="00FE7BF6">
        <w:rPr>
          <w:vertAlign w:val="superscript"/>
        </w:rPr>
        <w:t>)</w:t>
      </w:r>
      <w:r w:rsidR="00CC3469" w:rsidRPr="00FE7BF6">
        <w:rPr>
          <w:rFonts w:eastAsia="Palatino Linotype"/>
          <w:noProof w:val="0"/>
          <w:u w:color="000000"/>
          <w:bdr w:val="nil"/>
          <w:lang w:eastAsia="en-US"/>
          <w14:textOutline w14:w="0" w14:cap="flat" w14:cmpd="sng" w14:algn="ctr">
            <w14:noFill/>
            <w14:prstDash w14:val="solid"/>
            <w14:bevel/>
          </w14:textOutline>
        </w:rPr>
        <w:t>, the current study's objective was to investigate the association of the different genes polymorphisms (</w:t>
      </w:r>
      <w:r w:rsidR="00CC3469" w:rsidRPr="00FE7BF6">
        <w:rPr>
          <w:rFonts w:eastAsia="Palatino Linotype"/>
          <w:i/>
          <w:iCs/>
          <w:noProof w:val="0"/>
          <w:u w:color="000000"/>
          <w:bdr w:val="nil"/>
          <w:lang w:eastAsia="en-US"/>
          <w14:textOutline w14:w="0" w14:cap="flat" w14:cmpd="sng" w14:algn="ctr">
            <w14:noFill/>
            <w14:prstDash w14:val="solid"/>
            <w14:bevel/>
          </w14:textOutline>
        </w:rPr>
        <w:t>FGFR1, FGFR2, COL1A1, SOX2</w:t>
      </w:r>
      <w:r w:rsidR="00CC3469" w:rsidRPr="00FE7BF6">
        <w:rPr>
          <w:rFonts w:eastAsia="Palatino Linotype"/>
          <w:noProof w:val="0"/>
          <w:u w:color="000000"/>
          <w:bdr w:val="nil"/>
          <w:lang w:eastAsia="en-US"/>
          <w14:textOutline w14:w="0" w14:cap="flat" w14:cmpd="sng" w14:algn="ctr">
            <w14:noFill/>
            <w14:prstDash w14:val="solid"/>
            <w14:bevel/>
          </w14:textOutline>
        </w:rPr>
        <w:t xml:space="preserve"> and </w:t>
      </w:r>
      <w:r w:rsidR="00CC3469" w:rsidRPr="00FE7BF6">
        <w:rPr>
          <w:rFonts w:eastAsia="Palatino Linotype"/>
          <w:i/>
          <w:iCs/>
          <w:noProof w:val="0"/>
          <w:u w:color="000000"/>
          <w:bdr w:val="nil"/>
          <w:lang w:eastAsia="en-US"/>
          <w14:textOutline w14:w="0" w14:cap="flat" w14:cmpd="sng" w14:algn="ctr">
            <w14:noFill/>
            <w14:prstDash w14:val="solid"/>
            <w14:bevel/>
          </w14:textOutline>
        </w:rPr>
        <w:t>MAFB</w:t>
      </w:r>
      <w:r w:rsidR="00CC3469" w:rsidRPr="00FE7BF6">
        <w:rPr>
          <w:rFonts w:eastAsia="Palatino Linotype"/>
          <w:noProof w:val="0"/>
          <w:u w:color="000000"/>
          <w:bdr w:val="nil"/>
          <w:lang w:eastAsia="en-US"/>
          <w14:textOutline w14:w="0" w14:cap="flat" w14:cmpd="sng" w14:algn="ctr">
            <w14:noFill/>
            <w14:prstDash w14:val="solid"/>
            <w14:bevel/>
          </w14:textOutline>
        </w:rPr>
        <w:t>) with Class III malocclusion.</w:t>
      </w:r>
    </w:p>
    <w:p w14:paraId="5B47F78C" w14:textId="339DB16C" w:rsidR="00DD1ABE" w:rsidRPr="00FE7BF6" w:rsidRDefault="00DD1ABE" w:rsidP="00DD1ABE">
      <w:pPr>
        <w:pStyle w:val="MsoFootnoteText0"/>
        <w:spacing w:before="240" w:after="60" w:line="240" w:lineRule="atLeast"/>
        <w:ind w:left="0" w:right="476" w:firstLine="720"/>
        <w:rPr>
          <w:rFonts w:ascii="Palatino Linotype" w:hAnsi="Palatino Linotype"/>
          <w:b/>
          <w:bCs/>
        </w:rPr>
      </w:pPr>
      <w:r w:rsidRPr="00FE7BF6">
        <w:rPr>
          <w:rFonts w:ascii="Palatino Linotype" w:hAnsi="Palatino Linotype"/>
          <w:b/>
          <w:bCs/>
        </w:rPr>
        <w:t>Materials and Method</w:t>
      </w:r>
      <w:r w:rsidR="00916511">
        <w:rPr>
          <w:rFonts w:ascii="Palatino Linotype" w:hAnsi="Palatino Linotype"/>
          <w:b/>
          <w:bCs/>
        </w:rPr>
        <w:t>s</w:t>
      </w:r>
    </w:p>
    <w:p w14:paraId="7DC8A66E" w14:textId="72F0A640" w:rsidR="00CC3469" w:rsidRPr="00FE7BF6" w:rsidRDefault="00CC3469" w:rsidP="00DD1ABE">
      <w:pPr>
        <w:pStyle w:val="MsoFootnoteText0"/>
        <w:spacing w:before="240" w:after="60" w:line="240" w:lineRule="atLeast"/>
        <w:ind w:left="0" w:right="476" w:firstLine="720"/>
        <w:rPr>
          <w:rFonts w:ascii="Palatino Linotype" w:hAnsi="Palatino Linotype"/>
        </w:rPr>
      </w:pPr>
      <w:r w:rsidRPr="00FE7BF6">
        <w:rPr>
          <w:rFonts w:ascii="Palatino Linotype" w:hAnsi="Palatino Linotype"/>
        </w:rPr>
        <w:t xml:space="preserve">Subjects </w:t>
      </w:r>
    </w:p>
    <w:p w14:paraId="1FC4C59E" w14:textId="4DD685AE" w:rsidR="006D1D71" w:rsidRPr="00FE7BF6" w:rsidRDefault="00CC3469" w:rsidP="009201F7">
      <w:pPr>
        <w:pStyle w:val="MsoFootnoteText0"/>
        <w:spacing w:before="240" w:after="60" w:line="240" w:lineRule="atLeast"/>
        <w:ind w:right="476" w:firstLine="0"/>
        <w:rPr>
          <w:rFonts w:ascii="Palatino Linotype" w:hAnsi="Palatino Linotype"/>
        </w:rPr>
      </w:pPr>
      <w:r w:rsidRPr="00FE7BF6">
        <w:rPr>
          <w:rFonts w:ascii="Palatino Linotype" w:hAnsi="Palatino Linotype"/>
        </w:rPr>
        <w:t>The study's protocol, which complied with the Helsinki Declaration, was approved by the Human Ethics Committee of the University of Baghdad's College of Dentistry (reference number: 590422). Before taking part in this experiment, each individual provided informed consent. The checklist statement from the STREGA research (Strengthening the Reporting of Genetic Association) was followed</w:t>
      </w:r>
      <w:r w:rsidR="007C30F0" w:rsidRPr="00FE7BF6">
        <w:rPr>
          <w:rFonts w:ascii="Palatino Linotype" w:hAnsi="Palatino Linotype"/>
        </w:rPr>
        <w:t xml:space="preserve"> </w:t>
      </w:r>
      <w:r w:rsidRPr="00FE7BF6">
        <w:rPr>
          <w:rFonts w:ascii="Palatino Linotype" w:hAnsi="Palatino Linotype"/>
          <w:vertAlign w:val="superscript"/>
        </w:rPr>
        <w:t>(</w:t>
      </w:r>
      <w:r w:rsidRPr="00FE7BF6">
        <w:rPr>
          <w:rFonts w:ascii="Palatino Linotype" w:hAnsi="Palatino Linotype"/>
          <w:vertAlign w:val="superscript"/>
        </w:rPr>
        <w:fldChar w:fldCharType="begin" w:fldLock="1"/>
      </w:r>
      <w:r w:rsidR="00EC7BA8" w:rsidRPr="00FE7BF6">
        <w:rPr>
          <w:rFonts w:ascii="Palatino Linotype" w:hAnsi="Palatino Linotype"/>
          <w:vertAlign w:val="superscript"/>
        </w:rPr>
        <w:instrText>ADDIN CSL_CITATION {"citationItems":[{"id":"ITEM-1","itemData":{"DOI":"10.1002/gepi.20410","ISSN":"10982272","PMID":"19278015","abstract":"Making sense of rapidly evolving evidence on genetic associations is crucial to making genuine advances in human genomics and the eventual integration of this information in the practice of medicine and public health. Assessment of the strengths and weaknesses of this evidence, and hence the ability to synthesize it, has been limited by inadequate reporting of results. The STrengthening the REporting of Genetic Association studies (STREGA) initiative builds on the STrengthening the Reporting of OBservational Studies in Epidemiology (STROBE) Statement and provides additions to 12 of the 22 items on the STROBE checklist. The additions concern population stratification, genotyping errors, modelling haplotype variation, Hardy-Weinberg equilibrium, replication, selection of participants, rationale for choice of genes and variants, treatment effects in studying quantitative traits, statistical methods, relatedness, reporting of descriptive and outcome data, and the volume of data issues that are important to consider in genetic association studies. The STREGA recommendations do not prescribe or dictate how a genetic association study should be designed but seek to enhance the transparency of its reporting, regardless of choices made during design, conduct, or analysis. ©2009 Wiley-Liss, Inc.","author":[{"dropping-particle":"","family":"Little","given":"Julian","non-dropping-particle":"","parse-names":false,"suffix":""},{"dropping-particle":"","family":"Higgins","given":"Julian P.T.","non-dropping-particle":"","parse-names":false,"suffix":""},{"dropping-particle":"","family":"Ioannidis","given":"John P.A.","non-dropping-particle":"","parse-names":false,"suffix":""},{"dropping-particle":"","family":"Moher","given":"David","non-dropping-particle":"","parse-names":false,"suffix":""},{"dropping-particle":"","family":"Gagnon","given":"France","non-dropping-particle":"","parse-names":false,"suffix":""},{"dropping-particle":"","family":"Elm","given":"Erik","non-dropping-particle":"Von","parse-names":false,"suffix":""},{"dropping-particle":"","family":"Khoury","given":"Muin J.","non-dropping-particle":"","parse-names":false,"suffix":""},{"dropping-particle":"","family":"Cohen","given":"Barbara","non-dropping-particle":"","parse-names":false,"suffix":""},{"dropping-particle":"","family":"Davey-Smith","given":"George","non-dropping-particle":"","parse-names":false,"suffix":""},{"dropping-particle":"","family":"Grimshaw","given":"Jeremy","non-dropping-particle":"","parse-names":false,"suffix":""},{"dropping-particle":"","family":"Scheet","given":"Paul","non-dropping-particle":"","parse-names":false,"suffix":""},{"dropping-particle":"","family":"Gwinn","given":"Marta","non-dropping-particle":"","parse-names":false,"suffix":""},{"dropping-particle":"","family":"Williamson","given":"Robin E.","non-dropping-particle":"","parse-names":false,"suffix":""},{"dropping-particle":"","family":"Zou","given":"Guang Yong","non-dropping-particle":"","parse-names":false,"suffix":""},{"dropping-particle":"","family":"Hutchings","given":"Kim","non-dropping-particle":"","parse-names":false,"suffix":""},{"dropping-particle":"","family":"Johnson","given":"Candice Y.","non-dropping-particle":"","parse-names":false,"suffix":""},{"dropping-particle":"","family":"Tait","given":"Valerie","non-dropping-particle":"","parse-names":false,"suffix":""},{"dropping-particle":"","family":"Wiens","given":"Miriam","non-dropping-particle":"","parse-names":false,"suffix":""},{"dropping-particle":"","family":"Golding","given":"Jean","non-dropping-particle":"","parse-names":false,"suffix":""},{"dropping-particle":"","family":"Duijn","given":"Cornelia","non-dropping-particle":"Van","parse-names":false,"suffix":""},{"dropping-particle":"","family":"McLaughlin","given":"John","non-dropping-particle":"","parse-names":false,"suffix":""},{"dropping-particle":"","family":"Paterson","given":"Andrew","non-dropping-particle":"","parse-names":false,"suffix":""},{"dropping-particle":"","family":"Wells","given":"George","non-dropping-particle":"","parse-names":false,"suffix":""},{"dropping-particle":"","family":"Fortier","given":"Isabel","non-dropping-particle":"","parse-names":false,"suffix":""},{"dropping-particle":"","family":"Freedman","given":"Matthew","non-dropping-particle":"","parse-names":false,"suffix":""},{"dropping-particle":"","family":"Zecevic","given":"Maja","non-dropping-particle":"","parse-names":false,"suffix":""},{"dropping-particle":"","family":"King","given":"Richard","non-dropping-particle":"","parse-names":false,"suffix":""},{"dropping-particle":"","family":"Infante-Rivard","given":"Claire","non-dropping-particle":"","parse-names":false,"suffix":""},{"dropping-particle":"","family":"Stewart","given":"Alex","non-dropping-particle":"","parse-names":false,"suffix":""},{"dropping-particle":"","family":"Birkett","given":"Nick","non-dropping-particle":"","parse-names":false,"suffix":""}],"container-title":"Genetic Epidemiology","id":"ITEM-1","issue":"7","issued":{"date-parts":[["2009"]]},"page":"581-598","title":"STrengthening the REporting of genetic association studies (STREGA)- An extension of the STROBE statement","type":"article-journal","volume":"33"},"uris":["http://www.mendeley.com/documents/?uuid=d57477a6-6850-41dc-a8f3-1af1a419e239"]}],"mendeley":{"formattedCitation":"&lt;sup&gt;14&lt;/sup&gt;","plainTextFormattedCitation":"14","previouslyFormattedCitation":"&lt;sup&gt;9&lt;/sup&gt;"},"properties":{"noteIndex":0},"schema":"https://github.com/citation-style-language/schema/raw/master/csl-citation.json"}</w:instrText>
      </w:r>
      <w:r w:rsidRPr="00FE7BF6">
        <w:rPr>
          <w:rFonts w:ascii="Palatino Linotype" w:hAnsi="Palatino Linotype"/>
          <w:vertAlign w:val="superscript"/>
        </w:rPr>
        <w:fldChar w:fldCharType="separate"/>
      </w:r>
      <w:r w:rsidR="00EC7BA8" w:rsidRPr="00FE7BF6">
        <w:rPr>
          <w:rFonts w:ascii="Palatino Linotype" w:hAnsi="Palatino Linotype"/>
          <w:vertAlign w:val="superscript"/>
        </w:rPr>
        <w:t>14</w:t>
      </w:r>
      <w:r w:rsidRPr="00FE7BF6">
        <w:rPr>
          <w:rFonts w:ascii="Palatino Linotype" w:hAnsi="Palatino Linotype"/>
        </w:rPr>
        <w:fldChar w:fldCharType="end"/>
      </w:r>
      <w:r w:rsidRPr="00FE7BF6">
        <w:rPr>
          <w:rFonts w:ascii="Palatino Linotype" w:hAnsi="Palatino Linotype"/>
          <w:vertAlign w:val="superscript"/>
        </w:rPr>
        <w:t>)</w:t>
      </w:r>
      <w:r w:rsidR="007C30F0" w:rsidRPr="00FE7BF6">
        <w:rPr>
          <w:rFonts w:ascii="Palatino Linotype" w:hAnsi="Palatino Linotype"/>
        </w:rPr>
        <w:t xml:space="preserve">. </w:t>
      </w:r>
      <w:r w:rsidRPr="00FE7BF6">
        <w:rPr>
          <w:rFonts w:ascii="Palatino Linotype" w:hAnsi="Palatino Linotype"/>
        </w:rPr>
        <w:t>Salivary samples were used to extract genomic DNA, and lateral cephalometric X-rays recorded before treatment were examined to ascertain eligibility. Ten subjects from the College of Dentistry-University of Baghdad's Orthodontic Department who were seeking orthodontic treatment or consultation had their lateral cephalometric radiographs and saliva samples taken after undergoing a clinical examination and cephalometric analysis were included in the study.</w:t>
      </w:r>
      <w:r w:rsidR="009B4B23" w:rsidRPr="00FE7BF6">
        <w:rPr>
          <w:rFonts w:ascii="Palatino Linotype" w:hAnsi="Palatino Linotype"/>
        </w:rPr>
        <w:t xml:space="preserve"> </w:t>
      </w:r>
      <w:r w:rsidR="009B4B23" w:rsidRPr="00FE7BF6">
        <w:rPr>
          <w:rFonts w:ascii="Palatino Linotype" w:hAnsi="Palatino Linotype"/>
          <w:szCs w:val="20"/>
        </w:rPr>
        <w:t>saliva samples were obtained using a saliva collection tube which was designed for self-collection of donor's DNA saliva samples (CY-98000A, Huachenyang technology CO., LTD). Storing saliva in the freezer until it is delivered to the laboratory.</w:t>
      </w:r>
      <w:r w:rsidRPr="00FE7BF6">
        <w:rPr>
          <w:rFonts w:ascii="Palatino Linotype" w:hAnsi="Palatino Linotype"/>
        </w:rPr>
        <w:t xml:space="preserve"> All of the Arab Iraqis that took part in this study ranged in age from 18 to 30 (mean age 22). They were divided into two groups: those with Class I occlusions (four males and one female) and those with Class III malocclusions (two males and three females). The study excluded people with underlying genetic illnesses such as cleft lip and palate, development problems, and congenital deformities.</w:t>
      </w:r>
    </w:p>
    <w:p w14:paraId="7F842814" w14:textId="77777777" w:rsidR="009734B5" w:rsidRDefault="009734B5" w:rsidP="00CC3469">
      <w:pPr>
        <w:pStyle w:val="MsoFootnoteText0"/>
        <w:spacing w:before="240" w:after="60" w:line="240" w:lineRule="atLeast"/>
        <w:ind w:left="0" w:right="476" w:firstLine="720"/>
        <w:rPr>
          <w:rFonts w:ascii="Palatino Linotype" w:hAnsi="Palatino Linotype"/>
        </w:rPr>
      </w:pPr>
    </w:p>
    <w:p w14:paraId="152C94B7" w14:textId="7108F3F6" w:rsidR="00CC3469" w:rsidRPr="00FE7BF6" w:rsidRDefault="00CC3469" w:rsidP="00CC3469">
      <w:pPr>
        <w:pStyle w:val="MsoFootnoteText0"/>
        <w:spacing w:before="240" w:after="60" w:line="240" w:lineRule="atLeast"/>
        <w:ind w:left="0" w:right="476" w:firstLine="720"/>
        <w:rPr>
          <w:rFonts w:ascii="Palatino Linotype" w:hAnsi="Palatino Linotype"/>
        </w:rPr>
      </w:pPr>
      <w:r w:rsidRPr="00FE7BF6">
        <w:rPr>
          <w:rFonts w:ascii="Palatino Linotype" w:hAnsi="Palatino Linotype"/>
        </w:rPr>
        <w:lastRenderedPageBreak/>
        <w:t>Phenotype assessments</w:t>
      </w:r>
    </w:p>
    <w:p w14:paraId="1C545FB0" w14:textId="5ADDFA91" w:rsidR="005E3940" w:rsidRPr="00FE7BF6" w:rsidRDefault="00CC3469" w:rsidP="006D1D71">
      <w:pPr>
        <w:pStyle w:val="MsoFootnoteText0"/>
        <w:spacing w:before="240" w:after="60" w:line="240" w:lineRule="atLeast"/>
        <w:ind w:right="476" w:firstLine="0"/>
        <w:rPr>
          <w:rFonts w:ascii="Palatino Linotype" w:hAnsi="Palatino Linotype"/>
        </w:rPr>
      </w:pPr>
      <w:r w:rsidRPr="00FE7BF6">
        <w:rPr>
          <w:rFonts w:ascii="Palatino Linotype" w:hAnsi="Palatino Linotype"/>
        </w:rPr>
        <w:t xml:space="preserve"> Before starting therapy, lateral cephalometric radiographs of each individual were taken to assess their phenotypic. The lateral cephalograms were imported into AutoCAD (Version 2017) for digitalization. The measures were carried out by one examiner who gained training from an experienced orthodontist. As tracing landmarks,  four anatomical hard tissue points—Point A, Point B, Nasion (N), Sella (S) were used. Steiner's SNA, SNB, and ANB angles were utilized to determine the kind of malocclusion (sagittal skeleton jaw connection). Based on the ANB angle, the sample was classified as having class I malocclusions (2°–4°) and class III malocclusions (&lt;0°)</w:t>
      </w:r>
      <w:r w:rsidR="007C30F0" w:rsidRPr="00FE7BF6">
        <w:rPr>
          <w:rFonts w:ascii="Palatino Linotype" w:hAnsi="Palatino Linotype"/>
        </w:rPr>
        <w:t xml:space="preserve"> </w:t>
      </w:r>
      <w:r w:rsidR="00BE2297" w:rsidRPr="00FE7BF6">
        <w:rPr>
          <w:rFonts w:ascii="Palatino Linotype" w:hAnsi="Palatino Linotype"/>
          <w:vertAlign w:val="superscript"/>
        </w:rPr>
        <w:t>(</w:t>
      </w:r>
      <w:r w:rsidR="00BE2297" w:rsidRPr="00FE7BF6">
        <w:rPr>
          <w:rFonts w:ascii="Palatino Linotype" w:hAnsi="Palatino Linotype"/>
          <w:vertAlign w:val="superscript"/>
        </w:rPr>
        <w:fldChar w:fldCharType="begin" w:fldLock="1"/>
      </w:r>
      <w:r w:rsidR="00EC7BA8" w:rsidRPr="00FE7BF6">
        <w:rPr>
          <w:rFonts w:ascii="Palatino Linotype" w:hAnsi="Palatino Linotype"/>
          <w:vertAlign w:val="superscript"/>
        </w:rPr>
        <w:instrText>ADDIN CSL_CITATION {"citationItems":[{"id":"ITEM-1","itemData":{"DOI":"10.1016/0002-9416(53)90082-7","ISSN":"00029416","author":[{"dropping-particle":"","family":"Steiner","given":"Cecil C.","non-dropping-particle":"","parse-names":false,"suffix":""}],"container-title":"American Journal of Orthodontics","id":"ITEM-1","issue":"10","issued":{"date-parts":[["1953"]]},"page":"729-755","title":"Cephalometrics for you and me","type":"article-journal","volume":"39"},"uris":["http://www.mendeley.com/documents/?uuid=b7d5b882-2cf9-4540-adab-0b241f4007db"]}],"mendeley":{"formattedCitation":"&lt;sup&gt;15&lt;/sup&gt;","plainTextFormattedCitation":"15","previouslyFormattedCitation":"&lt;sup&gt;10&lt;/sup&gt;"},"properties":{"noteIndex":0},"schema":"https://github.com/citation-style-language/schema/raw/master/csl-citation.json"}</w:instrText>
      </w:r>
      <w:r w:rsidR="00BE2297" w:rsidRPr="00FE7BF6">
        <w:rPr>
          <w:rFonts w:ascii="Palatino Linotype" w:hAnsi="Palatino Linotype"/>
          <w:vertAlign w:val="superscript"/>
        </w:rPr>
        <w:fldChar w:fldCharType="separate"/>
      </w:r>
      <w:r w:rsidR="00EC7BA8" w:rsidRPr="00FE7BF6">
        <w:rPr>
          <w:rFonts w:ascii="Palatino Linotype" w:hAnsi="Palatino Linotype"/>
          <w:vertAlign w:val="superscript"/>
        </w:rPr>
        <w:t>15</w:t>
      </w:r>
      <w:r w:rsidR="00BE2297" w:rsidRPr="00FE7BF6">
        <w:rPr>
          <w:rFonts w:ascii="Palatino Linotype" w:hAnsi="Palatino Linotype"/>
          <w:vertAlign w:val="superscript"/>
        </w:rPr>
        <w:fldChar w:fldCharType="end"/>
      </w:r>
      <w:r w:rsidR="00BE2297" w:rsidRPr="00FE7BF6">
        <w:rPr>
          <w:rFonts w:ascii="Palatino Linotype" w:hAnsi="Palatino Linotype"/>
          <w:vertAlign w:val="superscript"/>
        </w:rPr>
        <w:t xml:space="preserve"> )</w:t>
      </w:r>
      <w:r w:rsidR="00BE2297" w:rsidRPr="00FE7BF6">
        <w:rPr>
          <w:rFonts w:ascii="Palatino Linotype" w:hAnsi="Palatino Linotype"/>
        </w:rPr>
        <w:t>.</w:t>
      </w:r>
      <w:r w:rsidR="00264F4D" w:rsidRPr="00FE7BF6">
        <w:rPr>
          <w:rFonts w:ascii="Palatino Linotype" w:hAnsi="Palatino Linotype"/>
          <w:szCs w:val="20"/>
        </w:rPr>
        <w:t xml:space="preserve"> Calibration procedure was used to evaluate the accuracy of the measurements. The radiographs were examined twice by</w:t>
      </w:r>
      <w:r w:rsidR="00264F4D" w:rsidRPr="00FE7BF6">
        <w:rPr>
          <w:rFonts w:ascii="Palatino Linotype" w:eastAsia="Calibri" w:hAnsi="Palatino Linotype"/>
          <w:noProof w:val="0"/>
          <w:color w:val="auto"/>
          <w:sz w:val="28"/>
          <w:szCs w:val="28"/>
          <w:lang w:eastAsia="en-US"/>
        </w:rPr>
        <w:t xml:space="preserve"> </w:t>
      </w:r>
      <w:r w:rsidR="00264F4D" w:rsidRPr="00FE7BF6">
        <w:rPr>
          <w:rFonts w:ascii="Palatino Linotype" w:hAnsi="Palatino Linotype"/>
          <w:szCs w:val="20"/>
        </w:rPr>
        <w:t>the same operator , the second time being one month later, in order to gauge the intra-examiner repeatability, and examined by a second examiner with sufficient training in order to assess the inter-examiner calibration. The Intra Class Correlation test (ICC), which demonstrated a high level of data repeatability, was used to verify the dependability.</w:t>
      </w:r>
    </w:p>
    <w:p w14:paraId="56E7B723" w14:textId="77777777" w:rsidR="00CC3469" w:rsidRPr="00FE7BF6" w:rsidRDefault="00CC3469" w:rsidP="00CC3469">
      <w:pPr>
        <w:pStyle w:val="MsoFootnoteText0"/>
        <w:spacing w:before="240" w:after="60" w:line="240" w:lineRule="atLeast"/>
        <w:ind w:left="0" w:right="476" w:firstLine="720"/>
        <w:rPr>
          <w:rFonts w:ascii="Palatino Linotype" w:hAnsi="Palatino Linotype"/>
        </w:rPr>
      </w:pPr>
      <w:r w:rsidRPr="00FE7BF6">
        <w:rPr>
          <w:rFonts w:ascii="Palatino Linotype" w:hAnsi="Palatino Linotype"/>
        </w:rPr>
        <w:t xml:space="preserve">Genotype assessments </w:t>
      </w:r>
    </w:p>
    <w:p w14:paraId="12699B80" w14:textId="1844DD76" w:rsidR="00CC3469" w:rsidRPr="00FE7BF6" w:rsidRDefault="00CC3469" w:rsidP="00264F4D">
      <w:pPr>
        <w:pStyle w:val="MsoFootnoteText0"/>
        <w:spacing w:before="240" w:after="60" w:line="240" w:lineRule="atLeast"/>
        <w:ind w:right="476" w:firstLine="0"/>
        <w:rPr>
          <w:rFonts w:ascii="Palatino Linotype" w:hAnsi="Palatino Linotype"/>
        </w:rPr>
      </w:pPr>
      <w:r w:rsidRPr="00FE7BF6">
        <w:rPr>
          <w:rFonts w:ascii="Palatino Linotype" w:hAnsi="Palatino Linotype"/>
        </w:rPr>
        <w:t>Salivary DNA was used to conduct a genotyping analysis. The genomic DNA was extracted using the ReliaPrepTM gDNA Miniprep System (Promega, WI, USA) in accordance with the manufacturer's instructions.</w:t>
      </w:r>
      <w:r w:rsidR="00264F4D" w:rsidRPr="00FE7BF6">
        <w:rPr>
          <w:rFonts w:ascii="Palatino Linotype" w:hAnsi="Palatino Linotype"/>
          <w:szCs w:val="20"/>
        </w:rPr>
        <w:t xml:space="preserve"> After that the </w:t>
      </w:r>
      <w:r w:rsidR="00264F4D" w:rsidRPr="00FE7BF6">
        <w:rPr>
          <w:rFonts w:ascii="Palatino Linotype" w:hAnsi="Palatino Linotype"/>
          <w:i/>
          <w:iCs/>
          <w:szCs w:val="20"/>
        </w:rPr>
        <w:t>FGFR1, FGFR2, COL1A1, SOX2</w:t>
      </w:r>
      <w:r w:rsidR="00264F4D" w:rsidRPr="00FE7BF6">
        <w:rPr>
          <w:rFonts w:ascii="Palatino Linotype" w:hAnsi="Palatino Linotype"/>
          <w:szCs w:val="20"/>
        </w:rPr>
        <w:t xml:space="preserve">, and </w:t>
      </w:r>
      <w:r w:rsidR="00264F4D" w:rsidRPr="00FE7BF6">
        <w:rPr>
          <w:rFonts w:ascii="Palatino Linotype" w:hAnsi="Palatino Linotype"/>
          <w:i/>
          <w:iCs/>
          <w:szCs w:val="20"/>
        </w:rPr>
        <w:t>MAFB</w:t>
      </w:r>
      <w:r w:rsidR="00264F4D" w:rsidRPr="00FE7BF6">
        <w:rPr>
          <w:rFonts w:ascii="Palatino Linotype" w:hAnsi="Palatino Linotype"/>
          <w:szCs w:val="20"/>
        </w:rPr>
        <w:t xml:space="preserve"> genes were amplified by the Polymerase Chain Reaction (PCR) technique and to assess the quality of samples for use in later processes, the Quantus Fluorometer was used to quantify the concentration of extracted DNA. To confirm the existence and integrity of the isolated DNA, agarose gel electrophoresis had been utilized, The Agarose gel chamber received voltage applications for genomic and PCR products of 5 V/cm and 70 V/cm, respectively, and the electrophoresis took 90 minutes to complete.</w:t>
      </w:r>
      <w:r w:rsidRPr="00FE7BF6">
        <w:rPr>
          <w:rFonts w:ascii="Palatino Linotype" w:hAnsi="Palatino Linotype"/>
        </w:rPr>
        <w:t xml:space="preserve"> </w:t>
      </w:r>
      <w:r w:rsidR="00264F4D" w:rsidRPr="00FE7BF6">
        <w:rPr>
          <w:rFonts w:ascii="Palatino Linotype" w:hAnsi="Palatino Linotype"/>
        </w:rPr>
        <w:t xml:space="preserve">Finaly, </w:t>
      </w:r>
      <w:r w:rsidRPr="00FE7BF6">
        <w:rPr>
          <w:rFonts w:ascii="Palatino Linotype" w:hAnsi="Palatino Linotype"/>
        </w:rPr>
        <w:t>the DNA was delivered to Macrogen (Seoul, Korea) for Sanger sequencing using an automated DNA sequencer called the ABI3730XL (United State), its integrity was evaluated using agarose gel electrophoresis.</w:t>
      </w:r>
    </w:p>
    <w:p w14:paraId="175BD4FF" w14:textId="188A13E0" w:rsidR="00451330" w:rsidRPr="00FE7BF6" w:rsidRDefault="00CC3469" w:rsidP="00EC7BA8">
      <w:pPr>
        <w:pStyle w:val="MsoFootnoteText0"/>
        <w:spacing w:before="240" w:after="60" w:line="240" w:lineRule="atLeast"/>
        <w:ind w:right="476" w:firstLine="0"/>
        <w:rPr>
          <w:rFonts w:ascii="Palatino Linotype" w:hAnsi="Palatino Linotype"/>
        </w:rPr>
      </w:pPr>
      <w:r w:rsidRPr="00FE7BF6">
        <w:rPr>
          <w:rFonts w:ascii="Palatino Linotype" w:hAnsi="Palatino Linotype"/>
        </w:rPr>
        <w:t xml:space="preserve">Sanger sequencing was carried out on five SNPs, rs2249492 in </w:t>
      </w:r>
      <w:r w:rsidRPr="00FE7BF6">
        <w:rPr>
          <w:rFonts w:ascii="Palatino Linotype" w:hAnsi="Palatino Linotype"/>
          <w:i/>
          <w:iCs/>
        </w:rPr>
        <w:t>COLA1A</w:t>
      </w:r>
      <w:r w:rsidRPr="00FE7BF6">
        <w:rPr>
          <w:rFonts w:ascii="Palatino Linotype" w:hAnsi="Palatino Linotype"/>
        </w:rPr>
        <w:t xml:space="preserve">, rs4434184 in </w:t>
      </w:r>
      <w:r w:rsidRPr="00FE7BF6">
        <w:rPr>
          <w:rFonts w:ascii="Palatino Linotype" w:hAnsi="Palatino Linotype"/>
          <w:i/>
          <w:iCs/>
        </w:rPr>
        <w:t>SOX2</w:t>
      </w:r>
      <w:r w:rsidRPr="00FE7BF6">
        <w:rPr>
          <w:rFonts w:ascii="Palatino Linotype" w:hAnsi="Palatino Linotype"/>
        </w:rPr>
        <w:t xml:space="preserve">, rs2162540 in </w:t>
      </w:r>
      <w:r w:rsidRPr="00FE7BF6">
        <w:rPr>
          <w:rFonts w:ascii="Palatino Linotype" w:hAnsi="Palatino Linotype"/>
          <w:i/>
          <w:iCs/>
        </w:rPr>
        <w:t>FGFR2</w:t>
      </w:r>
      <w:r w:rsidRPr="00FE7BF6">
        <w:rPr>
          <w:rFonts w:ascii="Palatino Linotype" w:hAnsi="Palatino Linotype"/>
        </w:rPr>
        <w:t xml:space="preserve">, rs11696257 in </w:t>
      </w:r>
      <w:r w:rsidRPr="00FE7BF6">
        <w:rPr>
          <w:rFonts w:ascii="Palatino Linotype" w:hAnsi="Palatino Linotype"/>
          <w:i/>
          <w:iCs/>
        </w:rPr>
        <w:t>MAFB</w:t>
      </w:r>
      <w:r w:rsidRPr="00FE7BF6">
        <w:rPr>
          <w:rFonts w:ascii="Palatino Linotype" w:hAnsi="Palatino Linotype"/>
        </w:rPr>
        <w:t xml:space="preserve">, and rs881301 in </w:t>
      </w:r>
      <w:r w:rsidRPr="00FE7BF6">
        <w:rPr>
          <w:rFonts w:ascii="Palatino Linotype" w:hAnsi="Palatino Linotype"/>
          <w:i/>
          <w:iCs/>
        </w:rPr>
        <w:t>FGFR1</w:t>
      </w:r>
      <w:r w:rsidRPr="00FE7BF6">
        <w:rPr>
          <w:rFonts w:ascii="Palatino Linotype" w:hAnsi="Palatino Linotype"/>
        </w:rPr>
        <w:t>, which were previously linked to disease or developmental anomalies in the bone and/or cartilage of the craniofacial area</w:t>
      </w:r>
      <w:r w:rsidR="008F50F9" w:rsidRPr="00FE7BF6">
        <w:rPr>
          <w:rFonts w:ascii="Palatino Linotype" w:hAnsi="Palatino Linotype"/>
        </w:rPr>
        <w:t xml:space="preserve"> </w:t>
      </w:r>
      <w:r w:rsidRPr="00FE7BF6">
        <w:rPr>
          <w:rFonts w:ascii="Palatino Linotype" w:hAnsi="Palatino Linotype"/>
          <w:vertAlign w:val="superscript"/>
        </w:rPr>
        <w:t>(</w:t>
      </w:r>
      <w:r w:rsidRPr="00FE7BF6">
        <w:rPr>
          <w:rFonts w:ascii="Palatino Linotype" w:hAnsi="Palatino Linotype"/>
          <w:vertAlign w:val="superscript"/>
        </w:rPr>
        <w:fldChar w:fldCharType="begin" w:fldLock="1"/>
      </w:r>
      <w:r w:rsidR="00EC7BA8" w:rsidRPr="00FE7BF6">
        <w:rPr>
          <w:rFonts w:ascii="Palatino Linotype" w:hAnsi="Palatino Linotype"/>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11&lt;/sup&gt;"},"properties":{"noteIndex":0},"schema":"https://github.com/citation-style-language/schema/raw/master/csl-citation.json"}</w:instrText>
      </w:r>
      <w:r w:rsidRPr="00FE7BF6">
        <w:rPr>
          <w:rFonts w:ascii="Palatino Linotype" w:hAnsi="Palatino Linotype"/>
          <w:vertAlign w:val="superscript"/>
        </w:rPr>
        <w:fldChar w:fldCharType="separate"/>
      </w:r>
      <w:r w:rsidR="00EC7BA8" w:rsidRPr="00FE7BF6">
        <w:rPr>
          <w:rFonts w:ascii="Palatino Linotype" w:hAnsi="Palatino Linotype"/>
          <w:vertAlign w:val="superscript"/>
        </w:rPr>
        <w:t>13</w:t>
      </w:r>
      <w:r w:rsidRPr="00FE7BF6">
        <w:rPr>
          <w:rFonts w:ascii="Palatino Linotype" w:hAnsi="Palatino Linotype"/>
        </w:rPr>
        <w:fldChar w:fldCharType="end"/>
      </w:r>
      <w:r w:rsidR="008F50F9" w:rsidRPr="00FE7BF6">
        <w:rPr>
          <w:rFonts w:ascii="Palatino Linotype" w:hAnsi="Palatino Linotype"/>
          <w:vertAlign w:val="superscript"/>
        </w:rPr>
        <w:t>)</w:t>
      </w:r>
      <w:r w:rsidR="008F50F9" w:rsidRPr="00FE7BF6">
        <w:rPr>
          <w:rFonts w:ascii="Palatino Linotype" w:hAnsi="Palatino Linotype"/>
        </w:rPr>
        <w:t>.</w:t>
      </w:r>
      <w:r w:rsidR="008F50F9" w:rsidRPr="00FE7BF6">
        <w:rPr>
          <w:rFonts w:ascii="Palatino Linotype" w:hAnsi="Palatino Linotype"/>
          <w:vertAlign w:val="superscript"/>
        </w:rPr>
        <w:t xml:space="preserve"> </w:t>
      </w:r>
      <w:r w:rsidRPr="00FE7BF6">
        <w:rPr>
          <w:rFonts w:ascii="Palatino Linotype" w:hAnsi="Palatino Linotype"/>
        </w:rPr>
        <w:t>Korean company Macrogen offered the validated primers for the selected SNPs. The Geneious program, which analyzes data through forward and reverse reading, was used to determine the sequencing difference between the samples of a given gene.</w:t>
      </w:r>
    </w:p>
    <w:p w14:paraId="793208B1" w14:textId="77777777" w:rsidR="00264F4D" w:rsidRPr="00FE7BF6" w:rsidRDefault="00730E6C" w:rsidP="004910D1">
      <w:pPr>
        <w:pStyle w:val="MsoFootnoteText0"/>
        <w:spacing w:before="240" w:after="60" w:line="240" w:lineRule="atLeast"/>
        <w:ind w:right="476" w:firstLine="0"/>
        <w:rPr>
          <w:rFonts w:ascii="Palatino Linotype" w:hAnsi="Palatino Linotype"/>
        </w:rPr>
      </w:pPr>
      <w:r w:rsidRPr="00FE7BF6">
        <w:rPr>
          <w:rFonts w:ascii="Palatino Linotype" w:hAnsi="Palatino Linotype"/>
        </w:rPr>
        <w:t>Statistical analysis</w:t>
      </w:r>
    </w:p>
    <w:p w14:paraId="0670DC4D" w14:textId="13697435" w:rsidR="00730E6C" w:rsidRPr="00FE7BF6" w:rsidRDefault="00264F4D" w:rsidP="00264F4D">
      <w:pPr>
        <w:pStyle w:val="MsoFootnoteText0"/>
        <w:spacing w:before="240" w:after="60" w:line="240" w:lineRule="atLeast"/>
        <w:ind w:left="0" w:right="476" w:firstLine="720"/>
        <w:rPr>
          <w:rFonts w:ascii="Palatino Linotype" w:hAnsi="Palatino Linotype"/>
        </w:rPr>
      </w:pPr>
      <w:r w:rsidRPr="00FE7BF6">
        <w:t>Intra Class Correlation test (ICC) was used to verify the reliability.</w:t>
      </w:r>
    </w:p>
    <w:p w14:paraId="149DCB5A" w14:textId="77777777" w:rsidR="00CC3469" w:rsidRPr="00FE7BF6" w:rsidRDefault="00CC3469" w:rsidP="00CC3469">
      <w:pPr>
        <w:pStyle w:val="Body"/>
        <w:spacing w:before="240" w:after="60" w:line="240" w:lineRule="atLeast"/>
        <w:ind w:left="0" w:right="476" w:firstLine="720"/>
      </w:pPr>
      <w:r w:rsidRPr="00FE7BF6">
        <w:rPr>
          <w:b/>
          <w:bCs/>
        </w:rPr>
        <w:t>Results</w:t>
      </w:r>
      <w:r w:rsidRPr="00FE7BF6">
        <w:t xml:space="preserve"> </w:t>
      </w:r>
    </w:p>
    <w:p w14:paraId="048EEB34" w14:textId="79135349" w:rsidR="00CC3469" w:rsidRPr="00FE7BF6" w:rsidRDefault="00D46071" w:rsidP="00CC3469">
      <w:pPr>
        <w:pStyle w:val="Body"/>
        <w:spacing w:before="240" w:after="60" w:line="240" w:lineRule="atLeast"/>
        <w:ind w:right="476" w:firstLine="0"/>
      </w:pPr>
      <w:r>
        <w:t xml:space="preserve">      </w:t>
      </w:r>
      <w:r w:rsidR="00CC3469" w:rsidRPr="00FE7BF6">
        <w:t>The mean age of the Class III malocclusion group was 21.8 years, while the mean age of the Class I malocclusion group was 23.8 years.</w:t>
      </w:r>
    </w:p>
    <w:p w14:paraId="79E1E382" w14:textId="77777777" w:rsidR="00CC3469" w:rsidRPr="00FE7BF6" w:rsidRDefault="00CC3469" w:rsidP="00CC3469">
      <w:pPr>
        <w:pStyle w:val="Body"/>
        <w:spacing w:before="240" w:after="60" w:line="240" w:lineRule="atLeast"/>
        <w:ind w:left="0" w:right="476" w:firstLine="720"/>
      </w:pPr>
      <w:r w:rsidRPr="00FE7BF6">
        <w:t>Cephalometric angular measurements</w:t>
      </w:r>
    </w:p>
    <w:p w14:paraId="15FA1656" w14:textId="1BB8527B" w:rsidR="007613C2" w:rsidRPr="00FE7BF6" w:rsidRDefault="00CC3469" w:rsidP="00916511">
      <w:pPr>
        <w:pStyle w:val="Body"/>
        <w:spacing w:before="240" w:after="60" w:line="240" w:lineRule="auto"/>
        <w:ind w:right="476" w:firstLine="0"/>
      </w:pPr>
      <w:r w:rsidRPr="00FE7BF6">
        <w:t>Angular measurements are shown as follows Table 1 SNA angles ranged from 78 degrees to 82 degrees, with 79.8 degrees being the mean for the Class I group. While the mean angle for the Class III group was 81°, the minimum and maximum angles were 78° and 83°, respectively. In the Class I group, the mean SNB angle was 78.2°, with a minimum angle of 76° and a maximum angle of 81°. The mean angle for the Class III group was 84.4°, with the minimum and maximum angles being 82° and 87°, respectively. Additionally, the mean ANB angle in Class I group was 1.6</w:t>
      </w:r>
      <w:r w:rsidRPr="00FE7BF6">
        <w:rPr>
          <w:vertAlign w:val="superscript"/>
        </w:rPr>
        <w:t>o</w:t>
      </w:r>
      <w:r w:rsidRPr="00FE7BF6">
        <w:t>, with the minimum angle being 1</w:t>
      </w:r>
      <w:r w:rsidRPr="00FE7BF6">
        <w:rPr>
          <w:vertAlign w:val="superscript"/>
        </w:rPr>
        <w:t>o</w:t>
      </w:r>
      <w:r w:rsidRPr="00FE7BF6">
        <w:t xml:space="preserve"> and the maximum angle being 2</w:t>
      </w:r>
      <w:r w:rsidRPr="00FE7BF6">
        <w:rPr>
          <w:vertAlign w:val="superscript"/>
        </w:rPr>
        <w:t>o</w:t>
      </w:r>
      <w:r w:rsidRPr="00FE7BF6">
        <w:t>. While the mean for the Class III group was (-3.4</w:t>
      </w:r>
      <w:r w:rsidRPr="00FE7BF6">
        <w:rPr>
          <w:vertAlign w:val="superscript"/>
        </w:rPr>
        <w:t>o</w:t>
      </w:r>
      <w:r w:rsidRPr="00FE7BF6">
        <w:t>), the minimum and maximum angles were (-2</w:t>
      </w:r>
      <w:r w:rsidRPr="00FE7BF6">
        <w:rPr>
          <w:vertAlign w:val="superscript"/>
        </w:rPr>
        <w:t>o</w:t>
      </w:r>
      <w:r w:rsidRPr="00FE7BF6">
        <w:t>) and (-4</w:t>
      </w:r>
      <w:r w:rsidRPr="00FE7BF6">
        <w:rPr>
          <w:vertAlign w:val="superscript"/>
        </w:rPr>
        <w:t>o</w:t>
      </w:r>
      <w:r w:rsidRPr="00FE7BF6">
        <w:t>), respectively.</w:t>
      </w:r>
    </w:p>
    <w:p w14:paraId="45C014A9" w14:textId="77777777" w:rsidR="007613C2" w:rsidRPr="00FE7BF6" w:rsidRDefault="007613C2" w:rsidP="00916511">
      <w:pPr>
        <w:spacing w:before="240" w:after="60" w:line="240" w:lineRule="auto"/>
        <w:ind w:right="0" w:firstLine="0"/>
        <w:jc w:val="left"/>
        <w:rPr>
          <w:rFonts w:eastAsia="Calibri"/>
          <w:noProof w:val="0"/>
          <w:lang w:eastAsia="en-US"/>
        </w:rPr>
      </w:pPr>
      <w:r w:rsidRPr="00FE7BF6">
        <w:rPr>
          <w:rFonts w:eastAsia="Calibri"/>
          <w:b/>
          <w:bCs/>
          <w:noProof w:val="0"/>
          <w:lang w:eastAsia="en-US"/>
        </w:rPr>
        <w:lastRenderedPageBreak/>
        <w:t xml:space="preserve">Table 1: </w:t>
      </w:r>
      <w:r w:rsidRPr="00FE7BF6">
        <w:rPr>
          <w:rFonts w:eastAsia="Calibri"/>
          <w:noProof w:val="0"/>
          <w:color w:val="auto"/>
          <w:lang w:eastAsia="en-US"/>
        </w:rPr>
        <w:t>Angular measurements that were measured in the case and control groups</w:t>
      </w:r>
      <w:r w:rsidRPr="00FE7BF6">
        <w:rPr>
          <w:rFonts w:eastAsia="Calibri"/>
          <w:noProof w:val="0"/>
          <w:lang w:eastAsia="en-US"/>
        </w:rPr>
        <w:t>.</w:t>
      </w:r>
    </w:p>
    <w:tbl>
      <w:tblPr>
        <w:tblStyle w:val="1"/>
        <w:tblW w:w="8136" w:type="dxa"/>
        <w:jc w:val="center"/>
        <w:tblLayout w:type="fixed"/>
        <w:tblLook w:val="04A0" w:firstRow="1" w:lastRow="0" w:firstColumn="1" w:lastColumn="0" w:noHBand="0" w:noVBand="1"/>
      </w:tblPr>
      <w:tblGrid>
        <w:gridCol w:w="316"/>
        <w:gridCol w:w="1718"/>
        <w:gridCol w:w="6102"/>
      </w:tblGrid>
      <w:tr w:rsidR="00351F4D" w:rsidRPr="00FE7BF6" w14:paraId="1ED16F46" w14:textId="77777777" w:rsidTr="00916511">
        <w:trPr>
          <w:trHeight w:val="328"/>
          <w:jc w:val="center"/>
        </w:trPr>
        <w:tc>
          <w:tcPr>
            <w:tcW w:w="2034" w:type="dxa"/>
            <w:gridSpan w:val="2"/>
            <w:tcBorders>
              <w:left w:val="nil"/>
              <w:right w:val="nil"/>
            </w:tcBorders>
          </w:tcPr>
          <w:p w14:paraId="22720E3F" w14:textId="2143C378" w:rsidR="00351F4D" w:rsidRPr="00FE7BF6" w:rsidRDefault="00351F4D" w:rsidP="008F50F9">
            <w:pPr>
              <w:spacing w:before="240" w:after="200" w:line="240" w:lineRule="auto"/>
              <w:ind w:left="0" w:right="0" w:firstLine="0"/>
              <w:jc w:val="center"/>
              <w:rPr>
                <w:rFonts w:ascii="Times New Roman" w:eastAsia="Calibri" w:hAnsi="Times New Roman"/>
                <w:b/>
                <w:bCs/>
                <w:noProof w:val="0"/>
                <w:color w:val="auto"/>
                <w:sz w:val="18"/>
                <w:szCs w:val="18"/>
                <w:lang w:eastAsia="en-US"/>
              </w:rPr>
            </w:pPr>
            <w:r w:rsidRPr="00FE7BF6">
              <w:rPr>
                <w:rFonts w:ascii="Times New Roman" w:eastAsia="Calibri" w:hAnsi="Times New Roman"/>
                <w:b/>
                <w:bCs/>
                <w:noProof w:val="0"/>
                <w:color w:val="auto"/>
                <w:sz w:val="18"/>
                <w:szCs w:val="18"/>
                <w:lang w:eastAsia="en-US"/>
              </w:rPr>
              <w:t>Angular Measurements</w:t>
            </w:r>
          </w:p>
        </w:tc>
        <w:tc>
          <w:tcPr>
            <w:tcW w:w="6102" w:type="dxa"/>
            <w:tcBorders>
              <w:left w:val="nil"/>
              <w:right w:val="nil"/>
            </w:tcBorders>
          </w:tcPr>
          <w:p w14:paraId="5F0DC240" w14:textId="776565A6" w:rsidR="00351F4D" w:rsidRPr="00FE7BF6" w:rsidRDefault="00351F4D" w:rsidP="008F50F9">
            <w:pPr>
              <w:spacing w:line="240" w:lineRule="auto"/>
              <w:ind w:left="0" w:right="0" w:firstLine="0"/>
              <w:jc w:val="lowKashida"/>
              <w:rPr>
                <w:rFonts w:ascii="Times New Roman" w:eastAsia="Calibri" w:hAnsi="Times New Roman"/>
                <w:b/>
                <w:bCs/>
                <w:noProof w:val="0"/>
                <w:color w:val="auto"/>
                <w:sz w:val="18"/>
                <w:szCs w:val="18"/>
                <w:lang w:eastAsia="en-US"/>
              </w:rPr>
            </w:pPr>
            <w:r w:rsidRPr="00FE7BF6">
              <w:rPr>
                <w:rFonts w:ascii="Times New Roman" w:eastAsia="Calibri" w:hAnsi="Times New Roman"/>
                <w:b/>
                <w:bCs/>
                <w:noProof w:val="0"/>
                <w:color w:val="auto"/>
                <w:sz w:val="18"/>
                <w:szCs w:val="18"/>
                <w:lang w:eastAsia="en-US"/>
              </w:rPr>
              <w:t xml:space="preserve">          Class I group                              Class III group</w:t>
            </w:r>
          </w:p>
          <w:p w14:paraId="1E5889AD" w14:textId="77777777" w:rsidR="00351F4D" w:rsidRPr="00FE7BF6" w:rsidRDefault="00351F4D" w:rsidP="008F50F9">
            <w:pPr>
              <w:spacing w:line="240" w:lineRule="auto"/>
              <w:ind w:left="0" w:right="0"/>
              <w:rPr>
                <w:rFonts w:ascii="Times New Roman" w:eastAsia="Calibri" w:hAnsi="Times New Roman"/>
                <w:b/>
                <w:bCs/>
                <w:noProof w:val="0"/>
                <w:color w:val="auto"/>
                <w:sz w:val="18"/>
                <w:szCs w:val="18"/>
                <w:lang w:eastAsia="en-US"/>
              </w:rPr>
            </w:pPr>
            <w:r w:rsidRPr="00FE7BF6">
              <w:rPr>
                <w:rFonts w:ascii="Times New Roman" w:eastAsia="Calibri" w:hAnsi="Times New Roman"/>
                <w:b/>
                <w:bCs/>
                <w:noProof w:val="0"/>
                <w:color w:val="auto"/>
                <w:sz w:val="18"/>
                <w:szCs w:val="18"/>
                <w:lang w:eastAsia="en-US"/>
              </w:rPr>
              <w:t xml:space="preserve">    </w:t>
            </w:r>
          </w:p>
          <w:p w14:paraId="6E5DC813" w14:textId="03E03A67" w:rsidR="00351F4D" w:rsidRPr="00FE7BF6" w:rsidRDefault="00351F4D" w:rsidP="00351F4D">
            <w:pPr>
              <w:spacing w:line="240" w:lineRule="auto"/>
              <w:ind w:left="0" w:right="0" w:firstLine="0"/>
              <w:rPr>
                <w:rFonts w:ascii="Times New Roman" w:eastAsia="Calibri" w:hAnsi="Times New Roman"/>
                <w:b/>
                <w:bCs/>
                <w:noProof w:val="0"/>
                <w:color w:val="auto"/>
                <w:sz w:val="18"/>
                <w:szCs w:val="18"/>
                <w:lang w:eastAsia="en-US"/>
              </w:rPr>
            </w:pPr>
            <w:r w:rsidRPr="00FE7BF6">
              <w:rPr>
                <w:rFonts w:ascii="Times New Roman" w:eastAsia="Calibri" w:hAnsi="Times New Roman"/>
                <w:b/>
                <w:bCs/>
                <w:noProof w:val="0"/>
                <w:color w:val="auto"/>
                <w:sz w:val="18"/>
                <w:szCs w:val="18"/>
                <w:lang w:eastAsia="en-US"/>
              </w:rPr>
              <w:t xml:space="preserve">     Mean         Min.       Max.         Mean         Min.          Max.</w:t>
            </w:r>
          </w:p>
        </w:tc>
      </w:tr>
      <w:tr w:rsidR="008F50F9" w:rsidRPr="00FE7BF6" w14:paraId="42C67580" w14:textId="77777777" w:rsidTr="00916511">
        <w:trPr>
          <w:trHeight w:val="619"/>
          <w:jc w:val="center"/>
        </w:trPr>
        <w:tc>
          <w:tcPr>
            <w:tcW w:w="316" w:type="dxa"/>
            <w:tcBorders>
              <w:left w:val="nil"/>
              <w:right w:val="nil"/>
            </w:tcBorders>
            <w:textDirection w:val="btLr"/>
          </w:tcPr>
          <w:p w14:paraId="44803382" w14:textId="77777777" w:rsidR="008F50F9" w:rsidRPr="00FE7BF6" w:rsidRDefault="008F50F9" w:rsidP="008F50F9">
            <w:pPr>
              <w:spacing w:after="200" w:line="240" w:lineRule="auto"/>
              <w:ind w:left="0" w:right="0" w:firstLine="0"/>
              <w:jc w:val="center"/>
              <w:rPr>
                <w:rFonts w:ascii="Times New Roman" w:eastAsia="Calibri" w:hAnsi="Times New Roman"/>
                <w:bCs/>
                <w:noProof w:val="0"/>
                <w:color w:val="auto"/>
                <w:sz w:val="18"/>
                <w:szCs w:val="18"/>
                <w:lang w:eastAsia="en-US"/>
              </w:rPr>
            </w:pPr>
          </w:p>
        </w:tc>
        <w:tc>
          <w:tcPr>
            <w:tcW w:w="7820" w:type="dxa"/>
            <w:gridSpan w:val="2"/>
            <w:tcBorders>
              <w:left w:val="nil"/>
              <w:right w:val="nil"/>
            </w:tcBorders>
          </w:tcPr>
          <w:p w14:paraId="6D5182AF" w14:textId="06B4CC74" w:rsidR="008F50F9" w:rsidRPr="00FE7BF6" w:rsidRDefault="008F50F9" w:rsidP="008F50F9">
            <w:pPr>
              <w:spacing w:after="200" w:line="240" w:lineRule="auto"/>
              <w:ind w:left="0" w:right="0" w:firstLine="0"/>
              <w:rPr>
                <w:rFonts w:ascii="Times New Roman" w:eastAsia="Calibri" w:hAnsi="Times New Roman"/>
                <w:bCs/>
                <w:noProof w:val="0"/>
                <w:color w:val="auto"/>
                <w:sz w:val="18"/>
                <w:szCs w:val="18"/>
                <w:lang w:eastAsia="en-US"/>
              </w:rPr>
            </w:pPr>
            <w:r w:rsidRPr="00FE7BF6">
              <w:rPr>
                <w:rFonts w:ascii="Times New Roman" w:eastAsia="Calibri" w:hAnsi="Times New Roman"/>
                <w:bCs/>
                <w:noProof w:val="0"/>
                <w:color w:val="auto"/>
                <w:sz w:val="18"/>
                <w:szCs w:val="18"/>
                <w:lang w:eastAsia="en-US"/>
              </w:rPr>
              <w:t xml:space="preserve">      SNA</w:t>
            </w:r>
            <w:r w:rsidRPr="00FE7BF6">
              <w:rPr>
                <w:rFonts w:ascii="Times New Roman" w:eastAsia="Calibri" w:hAnsi="Times New Roman"/>
                <w:bCs/>
                <w:noProof w:val="0"/>
                <w:color w:val="auto"/>
                <w:spacing w:val="-1"/>
                <w:sz w:val="18"/>
                <w:szCs w:val="18"/>
                <w:lang w:eastAsia="en-US"/>
              </w:rPr>
              <w:t xml:space="preserve"> </w:t>
            </w:r>
            <w:r w:rsidRPr="00FE7BF6">
              <w:rPr>
                <w:rFonts w:ascii="Times New Roman" w:eastAsia="Calibri" w:hAnsi="Times New Roman"/>
                <w:bCs/>
                <w:noProof w:val="0"/>
                <w:color w:val="auto"/>
                <w:sz w:val="18"/>
                <w:szCs w:val="18"/>
                <w:lang w:eastAsia="en-US"/>
              </w:rPr>
              <w:t xml:space="preserve">(º)                   </w:t>
            </w:r>
            <w:r w:rsidR="006F6D23" w:rsidRPr="00FE7BF6">
              <w:rPr>
                <w:rFonts w:ascii="Times New Roman" w:eastAsia="Calibri" w:hAnsi="Times New Roman"/>
                <w:bCs/>
                <w:noProof w:val="0"/>
                <w:color w:val="auto"/>
                <w:sz w:val="18"/>
                <w:szCs w:val="18"/>
                <w:lang w:eastAsia="en-US"/>
              </w:rPr>
              <w:t xml:space="preserve"> </w:t>
            </w:r>
            <w:r w:rsidRPr="00FE7BF6">
              <w:rPr>
                <w:rFonts w:ascii="Times New Roman" w:eastAsia="Calibri" w:hAnsi="Times New Roman"/>
                <w:bCs/>
                <w:noProof w:val="0"/>
                <w:color w:val="auto"/>
                <w:sz w:val="18"/>
                <w:szCs w:val="18"/>
                <w:lang w:eastAsia="en-US"/>
              </w:rPr>
              <w:t xml:space="preserve">  79.8º       </w:t>
            </w:r>
            <w:r w:rsidR="006F6D23" w:rsidRPr="00FE7BF6">
              <w:rPr>
                <w:rFonts w:ascii="Times New Roman" w:eastAsia="Calibri" w:hAnsi="Times New Roman"/>
                <w:bCs/>
                <w:noProof w:val="0"/>
                <w:color w:val="auto"/>
                <w:sz w:val="18"/>
                <w:szCs w:val="18"/>
                <w:lang w:eastAsia="en-US"/>
              </w:rPr>
              <w:t xml:space="preserve">  </w:t>
            </w:r>
            <w:r w:rsidRPr="00FE7BF6">
              <w:rPr>
                <w:rFonts w:ascii="Times New Roman" w:eastAsia="Calibri" w:hAnsi="Times New Roman"/>
                <w:bCs/>
                <w:noProof w:val="0"/>
                <w:color w:val="auto"/>
                <w:sz w:val="18"/>
                <w:szCs w:val="18"/>
                <w:lang w:eastAsia="en-US"/>
              </w:rPr>
              <w:t xml:space="preserve">   78º          82º              81º            78º            83º                          </w:t>
            </w:r>
          </w:p>
          <w:p w14:paraId="6B0F77D2" w14:textId="61142C12" w:rsidR="008F50F9" w:rsidRPr="00FE7BF6" w:rsidRDefault="008F50F9" w:rsidP="008F50F9">
            <w:pPr>
              <w:spacing w:after="200" w:line="240" w:lineRule="auto"/>
              <w:ind w:left="0" w:right="0" w:firstLine="0"/>
              <w:rPr>
                <w:rFonts w:ascii="Times New Roman" w:eastAsia="Calibri" w:hAnsi="Times New Roman"/>
                <w:bCs/>
                <w:noProof w:val="0"/>
                <w:color w:val="auto"/>
                <w:sz w:val="18"/>
                <w:szCs w:val="18"/>
                <w:lang w:eastAsia="en-US"/>
              </w:rPr>
            </w:pPr>
            <w:r w:rsidRPr="00FE7BF6">
              <w:rPr>
                <w:rFonts w:ascii="Times New Roman" w:eastAsia="Calibri" w:hAnsi="Times New Roman"/>
                <w:bCs/>
                <w:noProof w:val="0"/>
                <w:color w:val="auto"/>
                <w:sz w:val="18"/>
                <w:szCs w:val="18"/>
                <w:lang w:eastAsia="en-US"/>
              </w:rPr>
              <w:t xml:space="preserve">      SNB</w:t>
            </w:r>
            <w:r w:rsidRPr="00FE7BF6">
              <w:rPr>
                <w:rFonts w:ascii="Times New Roman" w:eastAsia="Calibri" w:hAnsi="Times New Roman"/>
                <w:bCs/>
                <w:noProof w:val="0"/>
                <w:color w:val="auto"/>
                <w:spacing w:val="-1"/>
                <w:sz w:val="18"/>
                <w:szCs w:val="18"/>
                <w:lang w:eastAsia="en-US"/>
              </w:rPr>
              <w:t xml:space="preserve"> </w:t>
            </w:r>
            <w:r w:rsidRPr="00FE7BF6">
              <w:rPr>
                <w:rFonts w:ascii="Times New Roman" w:eastAsia="Calibri" w:hAnsi="Times New Roman"/>
                <w:bCs/>
                <w:noProof w:val="0"/>
                <w:color w:val="auto"/>
                <w:sz w:val="18"/>
                <w:szCs w:val="18"/>
                <w:lang w:eastAsia="en-US"/>
              </w:rPr>
              <w:t xml:space="preserve">(º)                    </w:t>
            </w:r>
            <w:r w:rsidR="006F6D23" w:rsidRPr="00FE7BF6">
              <w:rPr>
                <w:rFonts w:ascii="Times New Roman" w:eastAsia="Calibri" w:hAnsi="Times New Roman"/>
                <w:bCs/>
                <w:noProof w:val="0"/>
                <w:color w:val="auto"/>
                <w:sz w:val="18"/>
                <w:szCs w:val="18"/>
                <w:lang w:eastAsia="en-US"/>
              </w:rPr>
              <w:t xml:space="preserve"> </w:t>
            </w:r>
            <w:r w:rsidRPr="00FE7BF6">
              <w:rPr>
                <w:rFonts w:ascii="Times New Roman" w:eastAsia="Calibri" w:hAnsi="Times New Roman"/>
                <w:bCs/>
                <w:noProof w:val="0"/>
                <w:color w:val="auto"/>
                <w:sz w:val="18"/>
                <w:szCs w:val="18"/>
                <w:lang w:eastAsia="en-US"/>
              </w:rPr>
              <w:t xml:space="preserve"> 78.2º         </w:t>
            </w:r>
            <w:r w:rsidR="006F6D23" w:rsidRPr="00FE7BF6">
              <w:rPr>
                <w:rFonts w:ascii="Times New Roman" w:eastAsia="Calibri" w:hAnsi="Times New Roman"/>
                <w:bCs/>
                <w:noProof w:val="0"/>
                <w:color w:val="auto"/>
                <w:sz w:val="18"/>
                <w:szCs w:val="18"/>
                <w:lang w:eastAsia="en-US"/>
              </w:rPr>
              <w:t xml:space="preserve">  </w:t>
            </w:r>
            <w:r w:rsidRPr="00FE7BF6">
              <w:rPr>
                <w:rFonts w:ascii="Times New Roman" w:eastAsia="Calibri" w:hAnsi="Times New Roman"/>
                <w:bCs/>
                <w:noProof w:val="0"/>
                <w:color w:val="auto"/>
                <w:sz w:val="18"/>
                <w:szCs w:val="18"/>
                <w:lang w:eastAsia="en-US"/>
              </w:rPr>
              <w:t xml:space="preserve"> 76º          81º             84.4º          82º            87º</w:t>
            </w:r>
          </w:p>
          <w:p w14:paraId="306C38A9" w14:textId="31D88C05" w:rsidR="008F50F9" w:rsidRPr="00FE7BF6" w:rsidRDefault="008F50F9" w:rsidP="008F50F9">
            <w:pPr>
              <w:spacing w:after="200" w:line="240" w:lineRule="auto"/>
              <w:ind w:left="0" w:right="0" w:firstLine="0"/>
              <w:rPr>
                <w:rFonts w:ascii="Times New Roman" w:eastAsia="Calibri" w:hAnsi="Times New Roman"/>
                <w:bCs/>
                <w:noProof w:val="0"/>
                <w:color w:val="auto"/>
                <w:sz w:val="18"/>
                <w:szCs w:val="18"/>
                <w:lang w:eastAsia="en-US"/>
              </w:rPr>
            </w:pPr>
            <w:r w:rsidRPr="00FE7BF6">
              <w:rPr>
                <w:rFonts w:ascii="Times New Roman" w:eastAsia="Calibri" w:hAnsi="Times New Roman"/>
                <w:bCs/>
                <w:noProof w:val="0"/>
                <w:color w:val="auto"/>
                <w:sz w:val="18"/>
                <w:szCs w:val="18"/>
                <w:lang w:eastAsia="en-US"/>
              </w:rPr>
              <w:t xml:space="preserve">     ANB</w:t>
            </w:r>
            <w:r w:rsidRPr="00FE7BF6">
              <w:rPr>
                <w:rFonts w:ascii="Times New Roman" w:eastAsia="Calibri" w:hAnsi="Times New Roman"/>
                <w:bCs/>
                <w:noProof w:val="0"/>
                <w:color w:val="auto"/>
                <w:spacing w:val="-2"/>
                <w:sz w:val="18"/>
                <w:szCs w:val="18"/>
                <w:lang w:eastAsia="en-US"/>
              </w:rPr>
              <w:t xml:space="preserve"> </w:t>
            </w:r>
            <w:r w:rsidRPr="00FE7BF6">
              <w:rPr>
                <w:rFonts w:ascii="Times New Roman" w:eastAsia="Calibri" w:hAnsi="Times New Roman"/>
                <w:bCs/>
                <w:noProof w:val="0"/>
                <w:color w:val="auto"/>
                <w:sz w:val="18"/>
                <w:szCs w:val="18"/>
                <w:lang w:eastAsia="en-US"/>
              </w:rPr>
              <w:t xml:space="preserve">(º)                       1.6º           </w:t>
            </w:r>
            <w:r w:rsidR="006F6D23" w:rsidRPr="00FE7BF6">
              <w:rPr>
                <w:rFonts w:ascii="Times New Roman" w:eastAsia="Calibri" w:hAnsi="Times New Roman"/>
                <w:bCs/>
                <w:noProof w:val="0"/>
                <w:color w:val="auto"/>
                <w:sz w:val="18"/>
                <w:szCs w:val="18"/>
                <w:lang w:eastAsia="en-US"/>
              </w:rPr>
              <w:t xml:space="preserve">   </w:t>
            </w:r>
            <w:r w:rsidRPr="00FE7BF6">
              <w:rPr>
                <w:rFonts w:ascii="Times New Roman" w:eastAsia="Calibri" w:hAnsi="Times New Roman"/>
                <w:bCs/>
                <w:noProof w:val="0"/>
                <w:color w:val="auto"/>
                <w:sz w:val="18"/>
                <w:szCs w:val="18"/>
                <w:lang w:eastAsia="en-US"/>
              </w:rPr>
              <w:t>1º            2º              -3.4º           -2º            -4º</w:t>
            </w:r>
            <w:r w:rsidRPr="00FE7BF6">
              <w:rPr>
                <w:rFonts w:ascii="Times New Roman" w:eastAsia="Calibri" w:hAnsi="Times New Roman"/>
                <w:noProof w:val="0"/>
                <w:color w:val="auto"/>
                <w:sz w:val="18"/>
                <w:szCs w:val="18"/>
                <w:lang w:eastAsia="en-US"/>
              </w:rPr>
              <w:t xml:space="preserve"> </w:t>
            </w:r>
          </w:p>
        </w:tc>
      </w:tr>
    </w:tbl>
    <w:p w14:paraId="3934E1D2" w14:textId="240A09EB" w:rsidR="007613C2" w:rsidRPr="00FE7BF6" w:rsidRDefault="008F50F9" w:rsidP="008F50F9">
      <w:pPr>
        <w:pStyle w:val="Body"/>
        <w:spacing w:after="60" w:line="240" w:lineRule="atLeast"/>
        <w:ind w:right="476" w:firstLine="720"/>
      </w:pPr>
      <w:r w:rsidRPr="00FE7BF6">
        <w:rPr>
          <w:rFonts w:ascii="Times New Roman" w:eastAsia="Calibri" w:hAnsi="Times New Roman"/>
          <w:bCs/>
          <w:color w:val="auto"/>
          <w:sz w:val="18"/>
          <w:szCs w:val="18"/>
        </w:rPr>
        <w:t>Min.= minimum, Max.= maximum, º= degree</w:t>
      </w:r>
    </w:p>
    <w:p w14:paraId="1A49ACB7" w14:textId="77777777" w:rsidR="00CC3469" w:rsidRPr="00FE7BF6" w:rsidRDefault="00CC3469" w:rsidP="00CC3469">
      <w:pPr>
        <w:pStyle w:val="Body"/>
        <w:spacing w:before="240" w:after="60" w:line="240" w:lineRule="atLeast"/>
        <w:ind w:left="0" w:right="476" w:firstLine="720"/>
      </w:pPr>
      <w:r w:rsidRPr="00FE7BF6">
        <w:t>Genotype</w:t>
      </w:r>
    </w:p>
    <w:p w14:paraId="1773AF11" w14:textId="66F9926E" w:rsidR="00CC3469" w:rsidRPr="00FE7BF6" w:rsidRDefault="00CC3469" w:rsidP="00CC3469">
      <w:pPr>
        <w:pStyle w:val="Body"/>
        <w:spacing w:before="240" w:after="60" w:line="240" w:lineRule="atLeast"/>
        <w:ind w:right="476" w:firstLine="0"/>
      </w:pPr>
      <w:r w:rsidRPr="00FE7BF6">
        <w:t xml:space="preserve">Ten samples—five from the Class I group and five from the Class III group—were used in this pilot study. SNPs rs4434184 in </w:t>
      </w:r>
      <w:r w:rsidRPr="00FE7BF6">
        <w:rPr>
          <w:i/>
          <w:iCs/>
        </w:rPr>
        <w:t>SOX2</w:t>
      </w:r>
      <w:r w:rsidRPr="00FE7BF6">
        <w:t xml:space="preserve">, rs881301 in </w:t>
      </w:r>
      <w:r w:rsidRPr="00FE7BF6">
        <w:rPr>
          <w:i/>
          <w:iCs/>
        </w:rPr>
        <w:t>FGFR1</w:t>
      </w:r>
      <w:r w:rsidRPr="00FE7BF6">
        <w:t xml:space="preserve">, rs2249492 in </w:t>
      </w:r>
      <w:r w:rsidRPr="00FE7BF6">
        <w:rPr>
          <w:i/>
          <w:iCs/>
        </w:rPr>
        <w:t>COL1A1</w:t>
      </w:r>
      <w:r w:rsidRPr="00FE7BF6">
        <w:t xml:space="preserve">, rs2162540 in </w:t>
      </w:r>
      <w:r w:rsidRPr="00FE7BF6">
        <w:rPr>
          <w:i/>
          <w:iCs/>
        </w:rPr>
        <w:t>FGFR2</w:t>
      </w:r>
      <w:r w:rsidRPr="00FE7BF6">
        <w:t xml:space="preserve">, and rs11696257 in </w:t>
      </w:r>
      <w:r w:rsidRPr="00FE7BF6">
        <w:rPr>
          <w:i/>
          <w:iCs/>
        </w:rPr>
        <w:t>MAFB</w:t>
      </w:r>
      <w:r w:rsidRPr="00FE7BF6">
        <w:t xml:space="preserve"> were tested in this study. On a 1.5% agarose gel electrophoresis, the PCR products of the </w:t>
      </w:r>
      <w:r w:rsidRPr="00FE7BF6">
        <w:rPr>
          <w:i/>
          <w:iCs/>
        </w:rPr>
        <w:t xml:space="preserve">FGFR2, COL1A1, FGFR1, MAFB </w:t>
      </w:r>
      <w:r w:rsidRPr="00FE7BF6">
        <w:t>and</w:t>
      </w:r>
      <w:r w:rsidRPr="00FE7BF6">
        <w:rPr>
          <w:i/>
          <w:iCs/>
        </w:rPr>
        <w:t xml:space="preserve"> SOX2</w:t>
      </w:r>
      <w:r w:rsidRPr="00FE7BF6">
        <w:t xml:space="preserve"> genes are </w:t>
      </w:r>
      <w:r w:rsidR="007613C2" w:rsidRPr="00FE7BF6">
        <w:t xml:space="preserve">shown in </w:t>
      </w:r>
      <w:r w:rsidRPr="00FE7BF6">
        <w:t>Figure 1, respectively</w:t>
      </w:r>
      <w:r w:rsidR="007613C2" w:rsidRPr="00FE7BF6">
        <w:t>.</w:t>
      </w:r>
    </w:p>
    <w:p w14:paraId="0DB8A3DD" w14:textId="237DFE07" w:rsidR="007613C2" w:rsidRPr="00FE7BF6" w:rsidRDefault="007613C2" w:rsidP="007613C2">
      <w:pPr>
        <w:pStyle w:val="Body"/>
        <w:spacing w:before="240" w:after="60" w:line="240" w:lineRule="atLeast"/>
        <w:ind w:right="476" w:firstLine="0"/>
        <w:jc w:val="center"/>
      </w:pPr>
      <w:r w:rsidRPr="00FE7BF6">
        <w:rPr>
          <w:rFonts w:ascii="Calibri" w:eastAsia="Calibri" w:hAnsi="Calibri" w:cs="Arial"/>
          <w:noProof/>
          <w:color w:val="auto"/>
          <w:sz w:val="28"/>
          <w:szCs w:val="28"/>
          <w:bdr w:val="none" w:sz="0" w:space="0" w:color="auto"/>
          <w14:textOutline w14:w="0" w14:cap="rnd" w14:cmpd="sng" w14:algn="ctr">
            <w14:noFill/>
            <w14:prstDash w14:val="solid"/>
            <w14:bevel/>
          </w14:textOutline>
        </w:rPr>
        <w:drawing>
          <wp:inline distT="0" distB="0" distL="0" distR="0" wp14:anchorId="33870C77" wp14:editId="7A249583">
            <wp:extent cx="5988676" cy="187146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03827" cy="1876196"/>
                    </a:xfrm>
                    <a:prstGeom prst="rect">
                      <a:avLst/>
                    </a:prstGeom>
                  </pic:spPr>
                </pic:pic>
              </a:graphicData>
            </a:graphic>
          </wp:inline>
        </w:drawing>
      </w:r>
    </w:p>
    <w:p w14:paraId="4C0FD6B2" w14:textId="6BE7A21A" w:rsidR="00CC3469" w:rsidRPr="00FE7BF6" w:rsidRDefault="007613C2" w:rsidP="005E3940">
      <w:pPr>
        <w:pStyle w:val="Body"/>
        <w:spacing w:before="240" w:after="60" w:line="240" w:lineRule="atLeast"/>
        <w:ind w:right="476"/>
        <w:jc w:val="center"/>
        <w:rPr>
          <w:iCs/>
        </w:rPr>
      </w:pPr>
      <w:r w:rsidRPr="00FE7BF6">
        <w:rPr>
          <w:b/>
          <w:bCs/>
          <w:iCs/>
        </w:rPr>
        <w:t xml:space="preserve">Figure 1: </w:t>
      </w:r>
      <w:proofErr w:type="spellStart"/>
      <w:r w:rsidRPr="00FE7BF6">
        <w:rPr>
          <w:iCs/>
        </w:rPr>
        <w:t>Agaros</w:t>
      </w:r>
      <w:proofErr w:type="spellEnd"/>
      <w:r w:rsidRPr="00FE7BF6">
        <w:rPr>
          <w:iCs/>
        </w:rPr>
        <w:t xml:space="preserve"> gel electrophoresis of </w:t>
      </w:r>
      <w:r w:rsidRPr="00FE7BF6">
        <w:rPr>
          <w:i/>
          <w:iCs/>
        </w:rPr>
        <w:t xml:space="preserve">FGFR2, COL1A1, FGFR1, MAFB </w:t>
      </w:r>
      <w:r w:rsidRPr="00FE7BF6">
        <w:rPr>
          <w:iCs/>
        </w:rPr>
        <w:t>and</w:t>
      </w:r>
      <w:r w:rsidRPr="00FE7BF6">
        <w:rPr>
          <w:i/>
          <w:iCs/>
        </w:rPr>
        <w:t xml:space="preserve"> SOX2</w:t>
      </w:r>
      <w:r w:rsidRPr="00FE7BF6">
        <w:rPr>
          <w:iCs/>
        </w:rPr>
        <w:t xml:space="preserve"> genes the electrophoresis was performed using 1.5% </w:t>
      </w:r>
      <w:proofErr w:type="spellStart"/>
      <w:r w:rsidRPr="00FE7BF6">
        <w:rPr>
          <w:iCs/>
        </w:rPr>
        <w:t>agrose</w:t>
      </w:r>
      <w:proofErr w:type="spellEnd"/>
      <w:r w:rsidRPr="00FE7BF6">
        <w:rPr>
          <w:iCs/>
        </w:rPr>
        <w:t xml:space="preserve"> gel, 7v/cm for 90 min.</w:t>
      </w:r>
    </w:p>
    <w:p w14:paraId="57E64CA6" w14:textId="77777777" w:rsidR="008807E3" w:rsidRDefault="008807E3" w:rsidP="00CC3469">
      <w:pPr>
        <w:pStyle w:val="Body"/>
        <w:spacing w:before="240" w:after="60" w:line="240" w:lineRule="atLeast"/>
        <w:ind w:left="0" w:right="476" w:firstLine="720"/>
        <w:rPr>
          <w:iCs/>
        </w:rPr>
      </w:pPr>
    </w:p>
    <w:p w14:paraId="16AC5B5C" w14:textId="77777777" w:rsidR="00CC3469" w:rsidRPr="00FE7BF6" w:rsidRDefault="00CC3469" w:rsidP="00CC3469">
      <w:pPr>
        <w:pStyle w:val="Body"/>
        <w:spacing w:before="240" w:after="60" w:line="240" w:lineRule="atLeast"/>
        <w:ind w:left="0" w:right="476" w:firstLine="720"/>
        <w:rPr>
          <w:iCs/>
        </w:rPr>
      </w:pPr>
      <w:r w:rsidRPr="00FE7BF6">
        <w:rPr>
          <w:iCs/>
        </w:rPr>
        <w:t xml:space="preserve">The results of Sanger sequencing revealed the following: </w:t>
      </w:r>
    </w:p>
    <w:p w14:paraId="6D399317" w14:textId="77777777" w:rsidR="00CC3469" w:rsidRPr="00FE7BF6" w:rsidRDefault="00CC3469" w:rsidP="00CC3469">
      <w:pPr>
        <w:pStyle w:val="Body"/>
        <w:spacing w:before="240" w:after="60" w:line="240" w:lineRule="atLeast"/>
        <w:ind w:right="476" w:firstLine="0"/>
        <w:rPr>
          <w:iCs/>
        </w:rPr>
      </w:pPr>
      <w:r w:rsidRPr="00FE7BF6">
        <w:rPr>
          <w:i/>
          <w:iCs/>
        </w:rPr>
        <w:t>FGFR1</w:t>
      </w:r>
      <w:r w:rsidRPr="00FE7BF6">
        <w:t xml:space="preserve">: The analysis of </w:t>
      </w:r>
      <w:r w:rsidRPr="00FE7BF6">
        <w:rPr>
          <w:i/>
          <w:iCs/>
        </w:rPr>
        <w:t>FGFR1</w:t>
      </w:r>
      <w:r w:rsidRPr="00FE7BF6">
        <w:rPr>
          <w:iCs/>
        </w:rPr>
        <w:t xml:space="preserve"> </w:t>
      </w:r>
      <w:r w:rsidRPr="00FE7BF6">
        <w:t xml:space="preserve">gene (rs881301) using Sanger sequencing shows one </w:t>
      </w:r>
      <w:r w:rsidRPr="00FE7BF6">
        <w:rPr>
          <w:iCs/>
        </w:rPr>
        <w:t xml:space="preserve">polymorphism in </w:t>
      </w:r>
      <w:r w:rsidRPr="00FE7BF6">
        <w:t xml:space="preserve">Class I group and three </w:t>
      </w:r>
      <w:r w:rsidRPr="00FE7BF6">
        <w:rPr>
          <w:iCs/>
        </w:rPr>
        <w:t xml:space="preserve">polymorphism in </w:t>
      </w:r>
      <w:r w:rsidRPr="00FE7BF6">
        <w:t xml:space="preserve">Class III group. An example of SNP </w:t>
      </w:r>
      <w:r w:rsidRPr="00FE7BF6">
        <w:rPr>
          <w:iCs/>
        </w:rPr>
        <w:t xml:space="preserve">labeled in red rectangle </w:t>
      </w:r>
      <w:r w:rsidRPr="00FE7BF6">
        <w:t>(A8_M13-FB.ab1). Single “T” peak indicative of a T homozygous allele. Single “C” peak indicative of a C homozygous allele. Presence of the “T” and “C” peak indicative of T/C heterozygous allele (C) (Figure 2).</w:t>
      </w:r>
    </w:p>
    <w:p w14:paraId="54CCBBCF" w14:textId="77777777" w:rsidR="00CC3469" w:rsidRPr="00FE7BF6" w:rsidRDefault="00CC3469" w:rsidP="00CC3469">
      <w:pPr>
        <w:pStyle w:val="Body"/>
        <w:spacing w:before="240" w:after="60" w:line="240" w:lineRule="atLeast"/>
        <w:ind w:right="476" w:firstLine="0"/>
      </w:pPr>
      <w:r w:rsidRPr="00FE7BF6">
        <w:rPr>
          <w:i/>
          <w:iCs/>
        </w:rPr>
        <w:t xml:space="preserve"> MAFB</w:t>
      </w:r>
      <w:r w:rsidRPr="00FE7BF6">
        <w:rPr>
          <w:iCs/>
        </w:rPr>
        <w:t xml:space="preserve">: All tested samples had unclear readings </w:t>
      </w:r>
      <w:r w:rsidRPr="00FE7BF6">
        <w:t>(Figure 3).</w:t>
      </w:r>
    </w:p>
    <w:p w14:paraId="4D4DE7F7" w14:textId="77777777" w:rsidR="00CC3469" w:rsidRPr="00FE7BF6" w:rsidRDefault="00CC3469" w:rsidP="00CC3469">
      <w:pPr>
        <w:pStyle w:val="Body"/>
        <w:spacing w:before="240" w:after="60" w:line="240" w:lineRule="atLeast"/>
        <w:ind w:right="476" w:firstLine="0"/>
        <w:rPr>
          <w:iCs/>
        </w:rPr>
      </w:pPr>
      <w:r w:rsidRPr="00FE7BF6">
        <w:rPr>
          <w:i/>
        </w:rPr>
        <w:t>COL1A1</w:t>
      </w:r>
      <w:r w:rsidRPr="00FE7BF6">
        <w:rPr>
          <w:iCs/>
        </w:rPr>
        <w:t>:</w:t>
      </w:r>
      <w:r w:rsidRPr="00FE7BF6">
        <w:t xml:space="preserve"> The analysis of </w:t>
      </w:r>
      <w:r w:rsidRPr="00FE7BF6">
        <w:rPr>
          <w:i/>
        </w:rPr>
        <w:t>COL1A1</w:t>
      </w:r>
      <w:r w:rsidRPr="00FE7BF6">
        <w:rPr>
          <w:iCs/>
        </w:rPr>
        <w:t xml:space="preserve"> </w:t>
      </w:r>
      <w:r w:rsidRPr="00FE7BF6">
        <w:t>gene (rs2249492) using Sanger sequencing shows</w:t>
      </w:r>
      <w:r w:rsidRPr="00FE7BF6">
        <w:rPr>
          <w:iCs/>
        </w:rPr>
        <w:t xml:space="preserve"> one polymorphism in</w:t>
      </w:r>
      <w:r w:rsidRPr="00FE7BF6">
        <w:t xml:space="preserve"> Class I group. An example of SNP </w:t>
      </w:r>
      <w:r w:rsidRPr="00FE7BF6">
        <w:rPr>
          <w:iCs/>
        </w:rPr>
        <w:t xml:space="preserve">labeled in red rectangle </w:t>
      </w:r>
      <w:r w:rsidRPr="00FE7BF6">
        <w:t>(1_M13-FB.ab1). The single “A” peak indicated for a C homozygous allele and single “G” peak indicative of A homozygous allele while a presence of the “A” and “G” peak indicative of A/G heterozygous allele (R) (Figure 4).</w:t>
      </w:r>
    </w:p>
    <w:p w14:paraId="40C8BA8F" w14:textId="0C0284C6" w:rsidR="00CC3469" w:rsidRPr="00FE7BF6" w:rsidRDefault="00CC3469" w:rsidP="00CC3469">
      <w:pPr>
        <w:pStyle w:val="Body"/>
        <w:spacing w:before="240" w:after="60" w:line="240" w:lineRule="atLeast"/>
        <w:ind w:right="476" w:firstLine="0"/>
      </w:pPr>
      <w:r w:rsidRPr="00FE7BF6">
        <w:rPr>
          <w:i/>
        </w:rPr>
        <w:t xml:space="preserve">SOX2: </w:t>
      </w:r>
      <w:r w:rsidRPr="00FE7BF6">
        <w:t xml:space="preserve">The analysis of </w:t>
      </w:r>
      <w:r w:rsidRPr="00FE7BF6">
        <w:rPr>
          <w:i/>
          <w:iCs/>
        </w:rPr>
        <w:t>SOX2</w:t>
      </w:r>
      <w:r w:rsidRPr="00FE7BF6">
        <w:t xml:space="preserve"> gene (rs4434184) using Sanger sequencing shows</w:t>
      </w:r>
      <w:r w:rsidRPr="00FE7BF6">
        <w:rPr>
          <w:i/>
        </w:rPr>
        <w:t xml:space="preserve"> </w:t>
      </w:r>
      <w:r w:rsidRPr="00FE7BF6">
        <w:rPr>
          <w:iCs/>
        </w:rPr>
        <w:t>one polymorphism in</w:t>
      </w:r>
      <w:r w:rsidRPr="00FE7BF6">
        <w:t xml:space="preserve"> Class I group and two </w:t>
      </w:r>
      <w:r w:rsidRPr="00FE7BF6">
        <w:rPr>
          <w:iCs/>
        </w:rPr>
        <w:t xml:space="preserve">polymorphism in </w:t>
      </w:r>
      <w:r w:rsidRPr="00FE7BF6">
        <w:t xml:space="preserve">Class III group. An example of SNP </w:t>
      </w:r>
      <w:r w:rsidRPr="00FE7BF6">
        <w:rPr>
          <w:iCs/>
        </w:rPr>
        <w:t>labeled in red rectangle</w:t>
      </w:r>
      <w:r w:rsidRPr="00FE7BF6">
        <w:t xml:space="preserve"> (4_M13-FB.ab1). The single “A” peak indicated for a homozygous allele and single “G” peak indicative of a G homozygous allele while a presence of the “A” and “G” peak indicative of A/G heterozygous allele (R) (Figure 5). </w:t>
      </w:r>
    </w:p>
    <w:p w14:paraId="1B09FF70" w14:textId="30429E02" w:rsidR="007613C2" w:rsidRPr="00FE7BF6" w:rsidRDefault="00CC3469" w:rsidP="005E3940">
      <w:pPr>
        <w:pStyle w:val="Body"/>
        <w:spacing w:before="240" w:after="60" w:line="240" w:lineRule="atLeast"/>
        <w:ind w:right="476" w:firstLine="0"/>
      </w:pPr>
      <w:r w:rsidRPr="00FE7BF6">
        <w:rPr>
          <w:i/>
          <w:iCs/>
        </w:rPr>
        <w:lastRenderedPageBreak/>
        <w:t>FGFR2</w:t>
      </w:r>
      <w:r w:rsidRPr="00FE7BF6">
        <w:t xml:space="preserve">: </w:t>
      </w:r>
      <w:r w:rsidRPr="00FE7BF6">
        <w:rPr>
          <w:iCs/>
        </w:rPr>
        <w:t xml:space="preserve">All tested samples had unclear readings </w:t>
      </w:r>
      <w:r w:rsidRPr="00FE7BF6">
        <w:t>(Figure 6).</w:t>
      </w:r>
    </w:p>
    <w:p w14:paraId="699920F6" w14:textId="77777777" w:rsidR="007613C2" w:rsidRPr="00FE7BF6" w:rsidRDefault="007613C2" w:rsidP="007613C2">
      <w:pPr>
        <w:pStyle w:val="Body"/>
        <w:spacing w:before="240" w:after="60" w:line="240" w:lineRule="atLeast"/>
        <w:ind w:right="476"/>
        <w:jc w:val="center"/>
        <w:rPr>
          <w:b/>
          <w:bCs/>
        </w:rPr>
      </w:pPr>
      <w:r w:rsidRPr="00FE7BF6">
        <w:rPr>
          <w:noProof/>
        </w:rPr>
        <mc:AlternateContent>
          <mc:Choice Requires="wps">
            <w:drawing>
              <wp:anchor distT="0" distB="0" distL="114300" distR="114300" simplePos="0" relativeHeight="251664384" behindDoc="0" locked="0" layoutInCell="1" allowOverlap="1" wp14:anchorId="082503D3" wp14:editId="164819AA">
                <wp:simplePos x="0" y="0"/>
                <wp:positionH relativeFrom="column">
                  <wp:posOffset>4447970</wp:posOffset>
                </wp:positionH>
                <wp:positionV relativeFrom="paragraph">
                  <wp:posOffset>1442478</wp:posOffset>
                </wp:positionV>
                <wp:extent cx="373711" cy="262393"/>
                <wp:effectExtent l="0" t="0" r="26670" b="23495"/>
                <wp:wrapNone/>
                <wp:docPr id="4" name="مستطيل 4"/>
                <wp:cNvGraphicFramePr/>
                <a:graphic xmlns:a="http://schemas.openxmlformats.org/drawingml/2006/main">
                  <a:graphicData uri="http://schemas.microsoft.com/office/word/2010/wordprocessingShape">
                    <wps:wsp>
                      <wps:cNvSpPr/>
                      <wps:spPr>
                        <a:xfrm>
                          <a:off x="0" y="0"/>
                          <a:ext cx="373711"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E4304" id="مستطيل 4" o:spid="_x0000_s1026" style="position:absolute;margin-left:350.25pt;margin-top:113.6pt;width:29.45pt;height:2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" filled="f" strokecolor="red" strokeweight="2pt"/>
            </w:pict>
          </mc:Fallback>
        </mc:AlternateContent>
      </w:r>
      <w:r w:rsidRPr="00FE7BF6">
        <w:rPr>
          <w:noProof/>
        </w:rPr>
        <w:drawing>
          <wp:inline distT="0" distB="0" distL="0" distR="0" wp14:anchorId="016A8203" wp14:editId="4788B131">
            <wp:extent cx="3728434" cy="1608925"/>
            <wp:effectExtent l="0" t="0" r="571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t="25240" r="35852" b="25000"/>
                    <a:stretch/>
                  </pic:blipFill>
                  <pic:spPr bwMode="auto">
                    <a:xfrm>
                      <a:off x="0" y="0"/>
                      <a:ext cx="3736492" cy="1612402"/>
                    </a:xfrm>
                    <a:prstGeom prst="rect">
                      <a:avLst/>
                    </a:prstGeom>
                    <a:ln>
                      <a:noFill/>
                    </a:ln>
                    <a:extLst>
                      <a:ext uri="{53640926-AAD7-44D8-BBD7-CCE9431645EC}">
                        <a14:shadowObscured xmlns:a14="http://schemas.microsoft.com/office/drawing/2010/main"/>
                      </a:ext>
                    </a:extLst>
                  </pic:spPr>
                </pic:pic>
              </a:graphicData>
            </a:graphic>
          </wp:inline>
        </w:drawing>
      </w:r>
    </w:p>
    <w:p w14:paraId="32925CD4" w14:textId="58DB2804" w:rsidR="007613C2" w:rsidRPr="00FE7BF6" w:rsidRDefault="007613C2" w:rsidP="007613C2">
      <w:pPr>
        <w:pStyle w:val="Body"/>
        <w:spacing w:before="240" w:after="60" w:line="240" w:lineRule="atLeast"/>
        <w:ind w:right="476"/>
        <w:jc w:val="center"/>
      </w:pPr>
      <w:r w:rsidRPr="00FE7BF6">
        <w:rPr>
          <w:b/>
          <w:bCs/>
        </w:rPr>
        <w:t xml:space="preserve">Figure 2: </w:t>
      </w:r>
      <w:r w:rsidRPr="00FE7BF6">
        <w:rPr>
          <w:bCs/>
        </w:rPr>
        <w:t>The</w:t>
      </w:r>
      <w:r w:rsidRPr="00FE7BF6">
        <w:rPr>
          <w:b/>
        </w:rPr>
        <w:t xml:space="preserve"> </w:t>
      </w:r>
      <w:r w:rsidRPr="00FE7BF6">
        <w:rPr>
          <w:bCs/>
        </w:rPr>
        <w:t xml:space="preserve">analysis of </w:t>
      </w:r>
      <w:r w:rsidRPr="00FE7BF6">
        <w:rPr>
          <w:i/>
          <w:iCs/>
        </w:rPr>
        <w:t>FGFR1</w:t>
      </w:r>
      <w:r w:rsidRPr="00FE7BF6">
        <w:rPr>
          <w:iCs/>
        </w:rPr>
        <w:t xml:space="preserve"> </w:t>
      </w:r>
      <w:r w:rsidRPr="00FE7BF6">
        <w:rPr>
          <w:bCs/>
        </w:rPr>
        <w:t>gene (</w:t>
      </w:r>
      <w:r w:rsidRPr="00FE7BF6">
        <w:t xml:space="preserve">rs881301) </w:t>
      </w:r>
      <w:r w:rsidRPr="00FE7BF6">
        <w:rPr>
          <w:bCs/>
        </w:rPr>
        <w:t>using Sanger sequencing shows</w:t>
      </w:r>
      <w:r w:rsidRPr="00FE7BF6">
        <w:t xml:space="preserve"> one </w:t>
      </w:r>
      <w:r w:rsidRPr="00FE7BF6">
        <w:rPr>
          <w:iCs/>
        </w:rPr>
        <w:t xml:space="preserve">polymorphism in </w:t>
      </w:r>
      <w:r w:rsidRPr="00FE7BF6">
        <w:t xml:space="preserve">Class I group and three </w:t>
      </w:r>
      <w:r w:rsidRPr="00FE7BF6">
        <w:rPr>
          <w:iCs/>
        </w:rPr>
        <w:t xml:space="preserve">polymorphism in </w:t>
      </w:r>
      <w:r w:rsidRPr="00FE7BF6">
        <w:t xml:space="preserve">Class III group. An example of SNP </w:t>
      </w:r>
      <w:r w:rsidRPr="00FE7BF6">
        <w:rPr>
          <w:iCs/>
        </w:rPr>
        <w:t xml:space="preserve">labeled in red rectangle </w:t>
      </w:r>
      <w:r w:rsidRPr="00FE7BF6">
        <w:t>(A8_M13-FB.ab1).</w:t>
      </w:r>
    </w:p>
    <w:p w14:paraId="7D492C49" w14:textId="77777777" w:rsidR="007613C2" w:rsidRPr="00FE7BF6" w:rsidRDefault="007613C2" w:rsidP="007613C2">
      <w:pPr>
        <w:pStyle w:val="Body"/>
        <w:spacing w:before="240" w:after="60" w:line="240" w:lineRule="atLeast"/>
        <w:ind w:right="476"/>
        <w:jc w:val="center"/>
        <w:rPr>
          <w:iCs/>
        </w:rPr>
      </w:pPr>
      <w:r w:rsidRPr="00FE7BF6">
        <w:rPr>
          <w:noProof/>
        </w:rPr>
        <w:drawing>
          <wp:inline distT="0" distB="0" distL="0" distR="0" wp14:anchorId="1F66A982" wp14:editId="6F6521FB">
            <wp:extent cx="3451538" cy="1152659"/>
            <wp:effectExtent l="0" t="0" r="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8615" r="38678" b="34572"/>
                    <a:stretch/>
                  </pic:blipFill>
                  <pic:spPr bwMode="auto">
                    <a:xfrm>
                      <a:off x="0" y="0"/>
                      <a:ext cx="3468193" cy="1158221"/>
                    </a:xfrm>
                    <a:prstGeom prst="rect">
                      <a:avLst/>
                    </a:prstGeom>
                    <a:ln>
                      <a:noFill/>
                    </a:ln>
                    <a:extLst>
                      <a:ext uri="{53640926-AAD7-44D8-BBD7-CCE9431645EC}">
                        <a14:shadowObscured xmlns:a14="http://schemas.microsoft.com/office/drawing/2010/main"/>
                      </a:ext>
                    </a:extLst>
                  </pic:spPr>
                </pic:pic>
              </a:graphicData>
            </a:graphic>
          </wp:inline>
        </w:drawing>
      </w:r>
    </w:p>
    <w:p w14:paraId="7B34D6D7" w14:textId="1E6C2DD1" w:rsidR="007613C2" w:rsidRPr="00FE7BF6" w:rsidRDefault="007613C2" w:rsidP="007613C2">
      <w:pPr>
        <w:pStyle w:val="Body"/>
        <w:spacing w:before="240" w:after="60" w:line="240" w:lineRule="atLeast"/>
        <w:ind w:right="476"/>
        <w:jc w:val="center"/>
      </w:pPr>
      <w:r w:rsidRPr="00FE7BF6">
        <w:rPr>
          <w:b/>
          <w:bCs/>
        </w:rPr>
        <w:t>Figure 3:</w:t>
      </w:r>
      <w:r w:rsidRPr="00FE7BF6">
        <w:rPr>
          <w:b/>
        </w:rPr>
        <w:t xml:space="preserve"> </w:t>
      </w:r>
      <w:r w:rsidRPr="00FE7BF6">
        <w:rPr>
          <w:bCs/>
        </w:rPr>
        <w:t>The</w:t>
      </w:r>
      <w:r w:rsidRPr="00FE7BF6">
        <w:rPr>
          <w:b/>
        </w:rPr>
        <w:t xml:space="preserve"> </w:t>
      </w:r>
      <w:r w:rsidRPr="00FE7BF6">
        <w:rPr>
          <w:bCs/>
        </w:rPr>
        <w:t xml:space="preserve">analysis of </w:t>
      </w:r>
      <w:r w:rsidRPr="00FE7BF6">
        <w:rPr>
          <w:bCs/>
          <w:i/>
          <w:iCs/>
        </w:rPr>
        <w:t>MAFB</w:t>
      </w:r>
      <w:r w:rsidRPr="00FE7BF6">
        <w:rPr>
          <w:bCs/>
        </w:rPr>
        <w:t xml:space="preserve"> gene (</w:t>
      </w:r>
      <w:r w:rsidRPr="00FE7BF6">
        <w:t>rs11696257)</w:t>
      </w:r>
      <w:r w:rsidRPr="00FE7BF6">
        <w:rPr>
          <w:bCs/>
        </w:rPr>
        <w:t xml:space="preserve"> using Sanger sequencing, shows </w:t>
      </w:r>
      <w:r w:rsidRPr="00FE7BF6">
        <w:t xml:space="preserve">all </w:t>
      </w:r>
      <w:r w:rsidRPr="00FE7BF6">
        <w:rPr>
          <w:iCs/>
        </w:rPr>
        <w:t>tested samples had unclear readings.</w:t>
      </w:r>
    </w:p>
    <w:p w14:paraId="17E01701" w14:textId="77777777" w:rsidR="007613C2" w:rsidRPr="00FE7BF6" w:rsidRDefault="007613C2" w:rsidP="007613C2">
      <w:pPr>
        <w:pStyle w:val="Body"/>
        <w:spacing w:before="240" w:after="60" w:line="240" w:lineRule="atLeast"/>
        <w:ind w:right="476"/>
        <w:jc w:val="center"/>
        <w:rPr>
          <w:iCs/>
        </w:rPr>
      </w:pPr>
      <w:r w:rsidRPr="00FE7BF6">
        <w:rPr>
          <w:noProof/>
        </w:rPr>
        <mc:AlternateContent>
          <mc:Choice Requires="wps">
            <w:drawing>
              <wp:anchor distT="0" distB="0" distL="114300" distR="114300" simplePos="0" relativeHeight="251663360" behindDoc="0" locked="0" layoutInCell="1" allowOverlap="1" wp14:anchorId="459EF6FA" wp14:editId="523ED95C">
                <wp:simplePos x="0" y="0"/>
                <wp:positionH relativeFrom="column">
                  <wp:posOffset>4152900</wp:posOffset>
                </wp:positionH>
                <wp:positionV relativeFrom="paragraph">
                  <wp:posOffset>244835</wp:posOffset>
                </wp:positionV>
                <wp:extent cx="306781" cy="263347"/>
                <wp:effectExtent l="0" t="0" r="17145" b="22860"/>
                <wp:wrapNone/>
                <wp:docPr id="8" name="مستطيل 8"/>
                <wp:cNvGraphicFramePr/>
                <a:graphic xmlns:a="http://schemas.openxmlformats.org/drawingml/2006/main">
                  <a:graphicData uri="http://schemas.microsoft.com/office/word/2010/wordprocessingShape">
                    <wps:wsp>
                      <wps:cNvSpPr/>
                      <wps:spPr>
                        <a:xfrm>
                          <a:off x="0" y="0"/>
                          <a:ext cx="306781" cy="26334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8E6DA" id="مستطيل 8" o:spid="_x0000_s1026" style="position:absolute;margin-left:327pt;margin-top:19.3pt;width:24.15pt;height:2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" filled="f" strokecolor="red" strokeweight="2pt"/>
            </w:pict>
          </mc:Fallback>
        </mc:AlternateContent>
      </w:r>
      <w:r w:rsidRPr="00FE7BF6">
        <w:rPr>
          <w:noProof/>
        </w:rPr>
        <w:drawing>
          <wp:inline distT="0" distB="0" distL="0" distR="0" wp14:anchorId="0421D66A" wp14:editId="15FC71BF">
            <wp:extent cx="3580327" cy="1120439"/>
            <wp:effectExtent l="0" t="0" r="1270" b="381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1496" r="33428" b="31054"/>
                    <a:stretch/>
                  </pic:blipFill>
                  <pic:spPr bwMode="auto">
                    <a:xfrm>
                      <a:off x="0" y="0"/>
                      <a:ext cx="3592617" cy="1124285"/>
                    </a:xfrm>
                    <a:prstGeom prst="rect">
                      <a:avLst/>
                    </a:prstGeom>
                    <a:ln>
                      <a:noFill/>
                    </a:ln>
                    <a:extLst>
                      <a:ext uri="{53640926-AAD7-44D8-BBD7-CCE9431645EC}">
                        <a14:shadowObscured xmlns:a14="http://schemas.microsoft.com/office/drawing/2010/main"/>
                      </a:ext>
                    </a:extLst>
                  </pic:spPr>
                </pic:pic>
              </a:graphicData>
            </a:graphic>
          </wp:inline>
        </w:drawing>
      </w:r>
    </w:p>
    <w:p w14:paraId="0ADF31C5" w14:textId="77777777" w:rsidR="007613C2" w:rsidRPr="00FE7BF6" w:rsidRDefault="007613C2" w:rsidP="007613C2">
      <w:pPr>
        <w:pStyle w:val="Body"/>
        <w:spacing w:before="240" w:after="60" w:line="240" w:lineRule="atLeast"/>
        <w:ind w:right="476"/>
        <w:jc w:val="center"/>
      </w:pPr>
      <w:r w:rsidRPr="00FE7BF6">
        <w:rPr>
          <w:b/>
          <w:bCs/>
        </w:rPr>
        <w:t>Figure 4:</w:t>
      </w:r>
      <w:r w:rsidRPr="00FE7BF6">
        <w:rPr>
          <w:b/>
        </w:rPr>
        <w:t xml:space="preserve"> </w:t>
      </w:r>
      <w:r w:rsidRPr="00FE7BF6">
        <w:rPr>
          <w:bCs/>
        </w:rPr>
        <w:t>The</w:t>
      </w:r>
      <w:r w:rsidRPr="00FE7BF6">
        <w:rPr>
          <w:b/>
        </w:rPr>
        <w:t xml:space="preserve"> </w:t>
      </w:r>
      <w:r w:rsidRPr="00FE7BF6">
        <w:rPr>
          <w:bCs/>
        </w:rPr>
        <w:t xml:space="preserve">analysis of </w:t>
      </w:r>
      <w:r w:rsidRPr="00FE7BF6">
        <w:rPr>
          <w:i/>
        </w:rPr>
        <w:t>COL1A1</w:t>
      </w:r>
      <w:r w:rsidRPr="00FE7BF6">
        <w:rPr>
          <w:iCs/>
        </w:rPr>
        <w:t xml:space="preserve"> </w:t>
      </w:r>
      <w:r w:rsidRPr="00FE7BF6">
        <w:rPr>
          <w:bCs/>
        </w:rPr>
        <w:t>gene (</w:t>
      </w:r>
      <w:r w:rsidRPr="00FE7BF6">
        <w:t xml:space="preserve">rs2249492) </w:t>
      </w:r>
      <w:r w:rsidRPr="00FE7BF6">
        <w:rPr>
          <w:bCs/>
        </w:rPr>
        <w:t xml:space="preserve">using Sanger sequencing shows </w:t>
      </w:r>
      <w:r w:rsidRPr="00FE7BF6">
        <w:rPr>
          <w:iCs/>
        </w:rPr>
        <w:t>one polymorphism in</w:t>
      </w:r>
      <w:r w:rsidRPr="00FE7BF6">
        <w:t xml:space="preserve"> Class I group. An example of SNP </w:t>
      </w:r>
      <w:r w:rsidRPr="00FE7BF6">
        <w:rPr>
          <w:iCs/>
        </w:rPr>
        <w:t xml:space="preserve">labeled in red rectangle </w:t>
      </w:r>
      <w:r w:rsidRPr="00FE7BF6">
        <w:t>(1_M13-FB.ab1).</w:t>
      </w:r>
    </w:p>
    <w:p w14:paraId="1F39CF2B" w14:textId="77777777" w:rsidR="007613C2" w:rsidRPr="00FE7BF6" w:rsidRDefault="007613C2" w:rsidP="007613C2">
      <w:pPr>
        <w:pStyle w:val="Body"/>
        <w:spacing w:before="240" w:after="60" w:line="240" w:lineRule="atLeast"/>
        <w:ind w:right="476"/>
        <w:jc w:val="center"/>
        <w:rPr>
          <w:iCs/>
        </w:rPr>
      </w:pPr>
      <w:r w:rsidRPr="00FE7BF6">
        <w:rPr>
          <w:noProof/>
        </w:rPr>
        <mc:AlternateContent>
          <mc:Choice Requires="wps">
            <w:drawing>
              <wp:anchor distT="0" distB="0" distL="114300" distR="114300" simplePos="0" relativeHeight="251665408" behindDoc="0" locked="0" layoutInCell="1" allowOverlap="1" wp14:anchorId="16F3F434" wp14:editId="483B973F">
                <wp:simplePos x="0" y="0"/>
                <wp:positionH relativeFrom="column">
                  <wp:posOffset>4766693</wp:posOffset>
                </wp:positionH>
                <wp:positionV relativeFrom="paragraph">
                  <wp:posOffset>738757</wp:posOffset>
                </wp:positionV>
                <wp:extent cx="366493" cy="230257"/>
                <wp:effectExtent l="0" t="0" r="14605" b="17780"/>
                <wp:wrapNone/>
                <wp:docPr id="9" name="مستطيل 9"/>
                <wp:cNvGraphicFramePr/>
                <a:graphic xmlns:a="http://schemas.openxmlformats.org/drawingml/2006/main">
                  <a:graphicData uri="http://schemas.microsoft.com/office/word/2010/wordprocessingShape">
                    <wps:wsp>
                      <wps:cNvSpPr/>
                      <wps:spPr>
                        <a:xfrm>
                          <a:off x="0" y="0"/>
                          <a:ext cx="366493" cy="23025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0917B" id="مستطيل 9" o:spid="_x0000_s1026" style="position:absolute;margin-left:375.35pt;margin-top:58.15pt;width:28.8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" filled="f" strokecolor="red" strokeweight="2pt"/>
            </w:pict>
          </mc:Fallback>
        </mc:AlternateContent>
      </w:r>
      <w:r w:rsidRPr="00FE7BF6">
        <w:rPr>
          <w:noProof/>
        </w:rPr>
        <w:drawing>
          <wp:inline distT="0" distB="0" distL="0" distR="0" wp14:anchorId="2AD22C18" wp14:editId="754EC691">
            <wp:extent cx="3644721" cy="854495"/>
            <wp:effectExtent l="0" t="0" r="0" b="317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7655" r="30328" b="42982"/>
                    <a:stretch/>
                  </pic:blipFill>
                  <pic:spPr bwMode="auto">
                    <a:xfrm>
                      <a:off x="0" y="0"/>
                      <a:ext cx="3644721" cy="854495"/>
                    </a:xfrm>
                    <a:prstGeom prst="rect">
                      <a:avLst/>
                    </a:prstGeom>
                    <a:ln>
                      <a:noFill/>
                    </a:ln>
                    <a:extLst>
                      <a:ext uri="{53640926-AAD7-44D8-BBD7-CCE9431645EC}">
                        <a14:shadowObscured xmlns:a14="http://schemas.microsoft.com/office/drawing/2010/main"/>
                      </a:ext>
                    </a:extLst>
                  </pic:spPr>
                </pic:pic>
              </a:graphicData>
            </a:graphic>
          </wp:inline>
        </w:drawing>
      </w:r>
    </w:p>
    <w:p w14:paraId="07CD637D" w14:textId="3483A499" w:rsidR="007613C2" w:rsidRPr="00FE7BF6" w:rsidRDefault="007613C2" w:rsidP="007613C2">
      <w:pPr>
        <w:pStyle w:val="Body"/>
        <w:spacing w:before="240" w:after="60" w:line="240" w:lineRule="atLeast"/>
        <w:ind w:right="476"/>
        <w:jc w:val="center"/>
      </w:pPr>
      <w:r w:rsidRPr="00FE7BF6">
        <w:rPr>
          <w:b/>
          <w:bCs/>
        </w:rPr>
        <w:t xml:space="preserve">Figure 5: </w:t>
      </w:r>
      <w:r w:rsidRPr="00FE7BF6">
        <w:rPr>
          <w:bCs/>
        </w:rPr>
        <w:t>The</w:t>
      </w:r>
      <w:r w:rsidRPr="00FE7BF6">
        <w:rPr>
          <w:b/>
        </w:rPr>
        <w:t xml:space="preserve"> </w:t>
      </w:r>
      <w:r w:rsidRPr="00FE7BF6">
        <w:rPr>
          <w:bCs/>
        </w:rPr>
        <w:t xml:space="preserve">analysis of </w:t>
      </w:r>
      <w:r w:rsidRPr="00FE7BF6">
        <w:rPr>
          <w:i/>
          <w:iCs/>
        </w:rPr>
        <w:t>SOX2</w:t>
      </w:r>
      <w:r w:rsidRPr="00FE7BF6">
        <w:t xml:space="preserve"> </w:t>
      </w:r>
      <w:r w:rsidRPr="00FE7BF6">
        <w:rPr>
          <w:bCs/>
        </w:rPr>
        <w:t>gene (</w:t>
      </w:r>
      <w:r w:rsidRPr="00FE7BF6">
        <w:t xml:space="preserve">rs4434184) </w:t>
      </w:r>
      <w:r w:rsidRPr="00FE7BF6">
        <w:rPr>
          <w:bCs/>
        </w:rPr>
        <w:t>using Sanger sequencing shows</w:t>
      </w:r>
      <w:r w:rsidRPr="00FE7BF6">
        <w:rPr>
          <w:b/>
        </w:rPr>
        <w:t xml:space="preserve"> </w:t>
      </w:r>
      <w:r w:rsidRPr="00FE7BF6">
        <w:rPr>
          <w:iCs/>
        </w:rPr>
        <w:t>one polymorphism in</w:t>
      </w:r>
      <w:r w:rsidRPr="00FE7BF6">
        <w:t xml:space="preserve"> Class I group and two </w:t>
      </w:r>
      <w:r w:rsidRPr="00FE7BF6">
        <w:rPr>
          <w:iCs/>
        </w:rPr>
        <w:t xml:space="preserve">polymorphism in </w:t>
      </w:r>
      <w:r w:rsidRPr="00FE7BF6">
        <w:t xml:space="preserve">Class III group. An example of SNP </w:t>
      </w:r>
      <w:r w:rsidRPr="00FE7BF6">
        <w:rPr>
          <w:iCs/>
        </w:rPr>
        <w:t>labeled in red rectangle</w:t>
      </w:r>
      <w:r w:rsidRPr="00FE7BF6">
        <w:t xml:space="preserve"> (4_M13-FB.ab1).</w:t>
      </w:r>
    </w:p>
    <w:p w14:paraId="418F0CE2" w14:textId="77777777" w:rsidR="007613C2" w:rsidRPr="00FE7BF6" w:rsidRDefault="007613C2" w:rsidP="007613C2">
      <w:pPr>
        <w:pStyle w:val="Body"/>
        <w:spacing w:before="240" w:after="60" w:line="240" w:lineRule="atLeast"/>
        <w:ind w:right="476"/>
        <w:jc w:val="center"/>
        <w:rPr>
          <w:iCs/>
        </w:rPr>
      </w:pPr>
      <w:r w:rsidRPr="00FE7BF6">
        <w:rPr>
          <w:noProof/>
        </w:rPr>
        <w:lastRenderedPageBreak/>
        <w:drawing>
          <wp:inline distT="0" distB="0" distL="0" distR="0" wp14:anchorId="7E31F97F" wp14:editId="77A8967C">
            <wp:extent cx="3728434" cy="1255497"/>
            <wp:effectExtent l="0" t="0" r="5715" b="190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4353" r="38737" b="38564"/>
                    <a:stretch/>
                  </pic:blipFill>
                  <pic:spPr bwMode="auto">
                    <a:xfrm>
                      <a:off x="0" y="0"/>
                      <a:ext cx="3728434" cy="1255497"/>
                    </a:xfrm>
                    <a:prstGeom prst="rect">
                      <a:avLst/>
                    </a:prstGeom>
                    <a:ln>
                      <a:noFill/>
                    </a:ln>
                    <a:extLst>
                      <a:ext uri="{53640926-AAD7-44D8-BBD7-CCE9431645EC}">
                        <a14:shadowObscured xmlns:a14="http://schemas.microsoft.com/office/drawing/2010/main"/>
                      </a:ext>
                    </a:extLst>
                  </pic:spPr>
                </pic:pic>
              </a:graphicData>
            </a:graphic>
          </wp:inline>
        </w:drawing>
      </w:r>
    </w:p>
    <w:p w14:paraId="4ADA2A2A" w14:textId="6F1F381B" w:rsidR="00CC3469" w:rsidRPr="00FE7BF6" w:rsidRDefault="007613C2" w:rsidP="005E3940">
      <w:pPr>
        <w:pStyle w:val="Body"/>
        <w:spacing w:before="240" w:after="60" w:line="240" w:lineRule="atLeast"/>
        <w:ind w:right="476"/>
        <w:jc w:val="center"/>
      </w:pPr>
      <w:r w:rsidRPr="00FE7BF6">
        <w:rPr>
          <w:b/>
          <w:bCs/>
        </w:rPr>
        <w:t>Figure 6:</w:t>
      </w:r>
      <w:r w:rsidRPr="00FE7BF6">
        <w:rPr>
          <w:b/>
        </w:rPr>
        <w:t xml:space="preserve"> </w:t>
      </w:r>
      <w:r w:rsidRPr="00FE7BF6">
        <w:rPr>
          <w:bCs/>
        </w:rPr>
        <w:t>The</w:t>
      </w:r>
      <w:r w:rsidRPr="00FE7BF6">
        <w:rPr>
          <w:b/>
        </w:rPr>
        <w:t xml:space="preserve"> </w:t>
      </w:r>
      <w:r w:rsidRPr="00FE7BF6">
        <w:rPr>
          <w:bCs/>
        </w:rPr>
        <w:t xml:space="preserve">analysis of </w:t>
      </w:r>
      <w:r w:rsidRPr="00FE7BF6">
        <w:rPr>
          <w:i/>
          <w:iCs/>
        </w:rPr>
        <w:t>FGFR2</w:t>
      </w:r>
      <w:r w:rsidRPr="00FE7BF6">
        <w:t xml:space="preserve"> </w:t>
      </w:r>
      <w:r w:rsidRPr="00FE7BF6">
        <w:rPr>
          <w:bCs/>
        </w:rPr>
        <w:t>gene (</w:t>
      </w:r>
      <w:r w:rsidRPr="00FE7BF6">
        <w:t xml:space="preserve">rs2162540) </w:t>
      </w:r>
      <w:r w:rsidRPr="00FE7BF6">
        <w:rPr>
          <w:bCs/>
        </w:rPr>
        <w:t xml:space="preserve">using Sanger sequencing shows </w:t>
      </w:r>
      <w:r w:rsidRPr="00FE7BF6">
        <w:t xml:space="preserve">all </w:t>
      </w:r>
      <w:r w:rsidRPr="00FE7BF6">
        <w:rPr>
          <w:iCs/>
        </w:rPr>
        <w:t>tested samples had unclear readings.</w:t>
      </w:r>
    </w:p>
    <w:p w14:paraId="03A005D5" w14:textId="17A5B33F" w:rsidR="00CC3469" w:rsidRPr="00FE7BF6" w:rsidRDefault="00CC3469" w:rsidP="00CC3469">
      <w:pPr>
        <w:pStyle w:val="Body"/>
        <w:spacing w:before="240" w:after="60" w:line="240" w:lineRule="atLeast"/>
        <w:ind w:left="0" w:right="476" w:firstLine="720"/>
        <w:rPr>
          <w:b/>
          <w:bCs/>
        </w:rPr>
      </w:pPr>
      <w:r w:rsidRPr="00FE7BF6">
        <w:rPr>
          <w:b/>
          <w:bCs/>
        </w:rPr>
        <w:t>Discussion</w:t>
      </w:r>
    </w:p>
    <w:p w14:paraId="2D0C637E" w14:textId="7ED6A10A" w:rsidR="00CC3469" w:rsidRPr="00FE7BF6" w:rsidRDefault="009734B5" w:rsidP="00EC7BA8">
      <w:pPr>
        <w:pStyle w:val="Body"/>
        <w:spacing w:before="240" w:after="60" w:line="240" w:lineRule="atLeast"/>
        <w:ind w:right="476" w:firstLine="0"/>
      </w:pPr>
      <w:r>
        <w:t xml:space="preserve">       </w:t>
      </w:r>
      <w:r w:rsidR="00CC3469" w:rsidRPr="00FE7BF6">
        <w:t>According to the World Health Organization, malocclusion ranks as the third most prevalent oral health problem worldwide, following dental caries and periodontal disorders</w:t>
      </w:r>
      <w:r w:rsidR="007C30F0" w:rsidRPr="00FE7BF6">
        <w:t xml:space="preserve"> </w:t>
      </w:r>
      <w:r w:rsidR="00CC3469" w:rsidRPr="00FE7BF6">
        <w:rPr>
          <w:vertAlign w:val="superscript"/>
        </w:rPr>
        <w:t>(</w:t>
      </w:r>
      <w:r w:rsidR="00CC3469" w:rsidRPr="00FE7BF6">
        <w:rPr>
          <w:b/>
          <w:bCs/>
          <w:vertAlign w:val="superscript"/>
        </w:rPr>
        <w:fldChar w:fldCharType="begin" w:fldLock="1"/>
      </w:r>
      <w:r w:rsidR="00EC7BA8" w:rsidRPr="00FE7BF6">
        <w:rPr>
          <w:b/>
          <w:bCs/>
          <w:vertAlign w:val="superscript"/>
        </w:rPr>
        <w:instrText>ADDIN CSL_CITATION {"citationItems":[{"id":"ITEM-1","itemData":{"DOI":"10.1186/s12903-016-0308-7","ISBN":"1290301603","ISSN":"14726831","PMID":"27793138","abstract":"Background: Malocclusion is a common disease of oral and maxillofacial region. The study was aimed to investigate levels changes of periodontal pathogens in malocclusion patients before, during and after orthodontic treatments, and to confirm the difference between adults and children. Method: One hundred and eight malocclusion patients (46 adults and 62 children at the school-age) were randomly selected and received orthodontic treatment with fixed orthodontic appliances. Subgingival plaques were Porphyromonas gingivalis (P.gingivalis), Fusobacterium nucleatum (F. nucleatum), Prevotella intermedia (P. intermedia) and Tannerella forsythensis (T. forsythensis) collected from the observed regions before and after treatment. Clinical indexes, including plaque index (PLI), gingival index (GI), sulcus bleeding index (SBI), probing depth (PD) and attachment loss (AL) of observed teeth were examined. Results: The detection rates of P.gingivalis, F. nucleatum, P. intermedia and T. forsythensis increased from baseline to the third month without significant difference, and then returned to pretreatment levels 12 month after applying fixed orthodontic appliances. Adults' percentage contents of P.gingivalis, F. nucleatum, P. intermedia and T. forsythensis were significantly higher than those of children at baseline and the first month, but not obvious at the third month. PLI and SBI were increased from baseline to the first and to the third month both in adults and children groups. Besides, PD were increased from baseline to first month, followed by a downward trend in the third month; however, all patients were failed to detect with AL. Conclusions: Periodontal and microbiological statuses of malocclusion patients may be influenced by fixed orthodontic appliances in both adults and children, more significant in children than in adults. Some microbiological indexes have synchronous trend with the clinical indexes. Long-term efficacy of fixed orthodontic appliances for malocclusion should be confirmed by future researches.","author":[{"dropping-particle":"","family":"Guo","given":"Li","non-dropping-particle":"","parse-names":false,"suffix":""},{"dropping-particle":"","family":"Feng","given":"Ying","non-dropping-particle":"","parse-names":false,"suffix":""},{"dropping-particle":"","family":"Guo","given":"Hong Gang","non-dropping-particle":"","parse-names":false,"suffix":""},{"dropping-particle":"","family":"Liu","given":"Bo Wen","non-dropping-particle":"","parse-names":false,"suffix":""},{"dropping-particle":"","family":"Zhang","given":"Yang","non-dropping-particle":"","parse-names":false,"suffix":""}],"container-title":"BMC Oral Health","id":"ITEM-1","issue":"1","issued":{"date-parts":[["2016"]]},"page":"1-7","publisher":"BMC Oral Health","title":"Consequences of orthodontic treatment in malocclusion patients: Clinical and microbial effects in adults and children","type":"article-journal","volume":"16"},"uris":["http://www.mendeley.com/documents/?uuid=a754fe7d-da28-442a-a53a-b89581cf0290"]}],"mendeley":{"formattedCitation":"&lt;sup&gt;16&lt;/sup&gt;","plainTextFormattedCitation":"16","previouslyFormattedCitation":"&lt;sup&gt;12&lt;/sup&gt;"},"properties":{"noteIndex":0},"schema":"https://github.com/citation-style-language/schema/raw/master/csl-citation.json"}</w:instrText>
      </w:r>
      <w:r w:rsidR="00CC3469" w:rsidRPr="00FE7BF6">
        <w:rPr>
          <w:b/>
          <w:bCs/>
          <w:vertAlign w:val="superscript"/>
        </w:rPr>
        <w:fldChar w:fldCharType="separate"/>
      </w:r>
      <w:r w:rsidR="00EC7BA8" w:rsidRPr="00FE7BF6">
        <w:rPr>
          <w:bCs/>
          <w:noProof/>
          <w:vertAlign w:val="superscript"/>
        </w:rPr>
        <w:t>16</w:t>
      </w:r>
      <w:r w:rsidR="00CC3469" w:rsidRPr="00FE7BF6">
        <w:fldChar w:fldCharType="end"/>
      </w:r>
      <w:r w:rsidR="00CC3469" w:rsidRPr="00FE7BF6">
        <w:rPr>
          <w:vertAlign w:val="superscript"/>
        </w:rPr>
        <w:t>)</w:t>
      </w:r>
      <w:r w:rsidR="007C30F0" w:rsidRPr="00FE7BF6">
        <w:rPr>
          <w:b/>
          <w:bCs/>
        </w:rPr>
        <w:t xml:space="preserve">. </w:t>
      </w:r>
      <w:r w:rsidR="00CC3469" w:rsidRPr="00FE7BF6">
        <w:t>Malocclusion is a condition influenced by various factors, such as genetic inheritance, genetic mutations, age, gender, ethnicity, dental abnormalities, congenital diseases, muscle disorders, hormonal imbalances, and behavioral aspects</w:t>
      </w:r>
      <w:r w:rsidR="007C30F0" w:rsidRPr="00FE7BF6">
        <w:t xml:space="preserve"> </w:t>
      </w:r>
      <w:r w:rsidR="00CC3469" w:rsidRPr="00FE7BF6">
        <w:rPr>
          <w:vertAlign w:val="superscript"/>
        </w:rPr>
        <w:t>(</w:t>
      </w:r>
      <w:r w:rsidR="00CC3469" w:rsidRPr="00FE7BF6">
        <w:rPr>
          <w:vertAlign w:val="superscript"/>
        </w:rPr>
        <w:fldChar w:fldCharType="begin" w:fldLock="1"/>
      </w:r>
      <w:r w:rsidR="00EC7BA8" w:rsidRPr="00FE7BF6">
        <w:rPr>
          <w:vertAlign w:val="superscript"/>
        </w:rPr>
        <w:instrText>ADDIN CSL_CITATION {"citationItems":[{"id":"ITEM-1","itemData":{"DOI":"10.1016/j.jormas.2020.07.002","ISSN":"24687855","PMID":"32659411","abstract":"Aim: This review intends to highlight malocclusion as a multifactorial issue and review the different factors that influence different types of malocclusion and arch form. Methods: An online article search was performed on the factors influencing malocclusion and arch form from January 1990 through April 2020. The search was performed within the Google, Rutgers library, PubMed, MEDLINE databases via OVID using the keywords mentioned in the PubMed and MeSH headings for the English language published articles January 1990 through April 2020, which evaluated different factors that influence malocclusion and arch form. Results: Of the 300 articles found in initial search results, 31 articles met the inclusion criteria set for this review. These 31 studies were directly related to the factors that impact malocclusion and different arch forms. Conclusion: Genetic inheritance, genetic mutations, age, gender, ethnicity, dental anomalies like macrodontia, congenital diseases, muscular diseases, hormone imbalance, and human behaviour are all factors that influence malocclusion and arch forms. The elements within the individual's control like behaviours can aid in preventing malocclusion. However, it seems as if the underlying reason for most of these factors indicates that malocclusion is a by-product of genetics and pathology.","author":[{"dropping-particle":"","family":"Saghiri","given":"M. A.","non-dropping-particle":"","parse-names":false,"suffix":""},{"dropping-particle":"","family":"Eid","given":"J.","non-dropping-particle":"","parse-names":false,"suffix":""},{"dropping-particle":"","family":"Tang","given":"C. K.","non-dropping-particle":"","parse-names":false,"suffix":""},{"dropping-particle":"","family":"Freag","given":"P.","non-dropping-particle":"","parse-names":false,"suffix":""}],"container-title":"Journal of Stomatology, Oral and Maxillofacial Surgery","id":"ITEM-1","issue":"2","issued":{"date-parts":[["2021"]]},"page":"185-191","publisher":"Elsevier Masson SAS","title":"Factors influencing different types of malocclusion and arch form – A review","type":"article-journal","volume":"122"},"uris":["http://www.mendeley.com/documents/?uuid=e52ecb48-853e-4521-91a5-a41fbdab8eb3"]}],"mendeley":{"formattedCitation":"&lt;sup&gt;17&lt;/sup&gt;","plainTextFormattedCitation":"17","previouslyFormattedCitation":"&lt;sup&gt;13&lt;/sup&gt;"},"properties":{"noteIndex":0},"schema":"https://github.com/citation-style-language/schema/raw/master/csl-citation.json"}</w:instrText>
      </w:r>
      <w:r w:rsidR="00CC3469" w:rsidRPr="00FE7BF6">
        <w:rPr>
          <w:vertAlign w:val="superscript"/>
        </w:rPr>
        <w:fldChar w:fldCharType="separate"/>
      </w:r>
      <w:r w:rsidR="00EC7BA8" w:rsidRPr="00FE7BF6">
        <w:rPr>
          <w:noProof/>
          <w:vertAlign w:val="superscript"/>
        </w:rPr>
        <w:t>17</w:t>
      </w:r>
      <w:r w:rsidR="00CC3469" w:rsidRPr="00FE7BF6">
        <w:fldChar w:fldCharType="end"/>
      </w:r>
      <w:r w:rsidR="00CC3469" w:rsidRPr="00FE7BF6">
        <w:rPr>
          <w:vertAlign w:val="superscript"/>
        </w:rPr>
        <w:t>)</w:t>
      </w:r>
      <w:r w:rsidR="007C30F0" w:rsidRPr="00FE7BF6">
        <w:t>.</w:t>
      </w:r>
    </w:p>
    <w:p w14:paraId="0B2FCEDE" w14:textId="5661329D" w:rsidR="00CC3469" w:rsidRPr="00FE7BF6" w:rsidRDefault="00CC3469" w:rsidP="00EC7BA8">
      <w:pPr>
        <w:pStyle w:val="Body"/>
        <w:spacing w:before="240" w:after="60" w:line="240" w:lineRule="atLeast"/>
        <w:ind w:right="476" w:firstLine="0"/>
      </w:pPr>
      <w:r w:rsidRPr="00FE7BF6">
        <w:t>The causes of malocclusion are multifactorial, with genetic, environmental, and ethnic factors being the primary contributors. The presence of certain malocclusion types, such as Class III relationships, within families highlights a significant genetic link to the condition</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{"citationItems":[{"id":"ITEM-1","itemData":{"DOI":"10.1093/ejo/cjn035","ISSN":"01415387","PMID":"18775881","abstract":"The aim of this longitudinal study was to assess the relationship between non-nutritive sucking habits and the presence of anterior open bites (AOBs) and posterior crossbites and their association with facial morphology among 4- to 6-year-old children attending state schools in the city of Recife, Brazil. The sample comprised 287 children, both males and females. The proportion of boys to girls was approximately 50 per cent. The average age was 4 years 5 months at the beginning and 6 years 6 months at the end of the study. Data were collected from interviews with mothers or carers, and the clinical examination was carried out by two calibrated examiners. Statistical analysis was undertaken using bivariate analysis, Pearson's chi-square, McNemar, and Stuart-Maxwell tests.The results revealed a significant reduction in AOB (P&lt;0.001) and a slight increase in the prevalence of posterior crossbites. Both occlusal traits were associated with a previous history of sucking habits. The most prevalent morphological facial type, assessed using the morphological facial index, was high (≥88 mm) and a statistically significant (P = 0.02) association was found between facial morphology and an AOB. Children with an average or high facial morphology measurement exhibited a greater prevalence of AOB when compared with those with lower measurements. Self-correction of AOB was associated with cessation of sucking habits but facial morphology remained unaltered.","author":[{"dropping-particle":"","family":"Heimer","given":"Mônica Vilela","non-dropping-particle":"","parse-names":false,"suffix":""},{"dropping-particle":"","family":"Tornisiello Katz","given":"Cintia Regina","non-dropping-particle":"","parse-names":false,"suffix":""},{"dropping-particle":"","family":"Rosenblatt","given":"Aronita","non-dropping-particle":"","parse-names":false,"suffix":""}],"container-title":"European Journal of Orthodontics","id":"ITEM-1","issue":"6","issued":{"date-parts":[["2008"]]},"page":"580-585","title":"Non-nutritive sucking habits, dental malocclusions, and facial morphology in Brazilian children: A longitudinal study","type":"article-journal","volume":"30"},"uris":["http://www.mendeley.com/documents/?uuid=4ac3201d-84e1-4c35-b47a-dbd0aadce9d7"]}],"mendeley":{"formattedCitation":"&lt;sup&gt;18&lt;/sup&gt;","plainTextFormattedCitation":"18","previouslyFormattedCitation":"&lt;sup&gt;14&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18</w:t>
      </w:r>
      <w:r w:rsidRPr="00FE7BF6">
        <w:fldChar w:fldCharType="end"/>
      </w:r>
      <w:r w:rsidRPr="00FE7BF6">
        <w:rPr>
          <w:vertAlign w:val="superscript"/>
        </w:rPr>
        <w:t>)</w:t>
      </w:r>
      <w:r w:rsidR="007C30F0" w:rsidRPr="00FE7BF6">
        <w:t xml:space="preserve">. </w:t>
      </w:r>
      <w:r w:rsidRPr="00FE7BF6">
        <w:t>Conversely, the soft tissues, bones, and nearby dentitions undergo functional adaptations in response to environmental conditions, leading to diverse malocclusion problems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{"citationItems":[{"id":"ITEM-1","itemData":{"DOI":"10.1093/ejo/cjn035","ISSN":"01415387","PMID":"18775881","abstract":"The aim of this longitudinal study was to assess the relationship between non-nutritive sucking habits and the presence of anterior open bites (AOBs) and posterior crossbites and their association with facial morphology among 4- to 6-year-old children attending state schools in the city of Recife, Brazil. The sample comprised 287 children, both males and females. The proportion of boys to girls was approximately 50 per cent. The average age was 4 years 5 months at the beginning and 6 years 6 months at the end of the study. Data were collected from interviews with mothers or carers, and the clinical examination was carried out by two calibrated examiners. Statistical analysis was undertaken using bivariate analysis, Pearson's chi-square, McNemar, and Stuart-Maxwell tests.The results revealed a significant reduction in AOB (P&lt;0.001) and a slight increase in the prevalence of posterior crossbites. Both occlusal traits were associated with a previous history of sucking habits. The most prevalent morphological facial type, assessed using the morphological facial index, was high (≥88 mm) and a statistically significant (P = 0.02) association was found between facial morphology and an AOB. Children with an average or high facial morphology measurement exhibited a greater prevalence of AOB when compared with those with lower measurements. Self-correction of AOB was associated with cessation of sucking habits but facial morphology remained unaltered.","author":[{"dropping-particle":"","family":"Heimer","given":"Mônica Vilela","non-dropping-particle":"","parse-names":false,"suffix":""},{"dropping-particle":"","family":"Tornisiello Katz","given":"Cintia Regina","non-dropping-particle":"","parse-names":false,"suffix":""},{"dropping-particle":"","family":"Rosenblatt","given":"Aronita","non-dropping-particle":"","parse-names":false,"suffix":""}],"container-title":"European Journal of Orthodontics","id":"ITEM-1","issue":"6","issued":{"date-parts":[["2008"]]},"page":"580-585","title":"Non-nutritive sucking habits, dental malocclusions, and facial morphology in Brazilian children: A longitudinal study","type":"article-journal","volume":"30"},"uris":["http://www.mendeley.com/documents/?uuid=4ac3201d-84e1-4c35-b47a-dbd0aadce9d7"]}],"mendeley":{"formattedCitation":"&lt;sup&gt;18&lt;/sup&gt;","plainTextFormattedCitation":"18","previouslyFormattedCitation":"&lt;sup&gt;14&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18</w:t>
      </w:r>
      <w:r w:rsidRPr="00FE7BF6">
        <w:fldChar w:fldCharType="end"/>
      </w:r>
      <w:r w:rsidRPr="00FE7BF6">
        <w:rPr>
          <w:vertAlign w:val="superscript"/>
        </w:rPr>
        <w:t>)</w:t>
      </w:r>
      <w:r w:rsidR="007C30F0" w:rsidRPr="00FE7BF6">
        <w:t xml:space="preserve">. </w:t>
      </w:r>
    </w:p>
    <w:p w14:paraId="441FD16C" w14:textId="764EE8AC" w:rsidR="00CC3469" w:rsidRPr="00FE7BF6" w:rsidRDefault="00CC3469" w:rsidP="00EC7BA8">
      <w:pPr>
        <w:pStyle w:val="Body"/>
        <w:spacing w:before="240" w:after="60" w:line="240" w:lineRule="atLeast"/>
        <w:ind w:right="476" w:firstLine="0"/>
      </w:pPr>
      <w:r w:rsidRPr="00FE7BF6">
        <w:t xml:space="preserve">Cephalometric research suggests that accurate predictions of growth and orthodontic therapy effects are most beneficial for growing Class II and Class III patients. According to Björk and </w:t>
      </w:r>
      <w:proofErr w:type="spellStart"/>
      <w:r w:rsidRPr="00FE7BF6">
        <w:t>Skieller's</w:t>
      </w:r>
      <w:proofErr w:type="spellEnd"/>
      <w:r w:rsidRPr="00FE7BF6">
        <w:t xml:space="preserve"> research, mandibular growth rotations can be complicated and difficult to treat clinically, especially in people who have a high mandibular plane angle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{"citationItems":[{"id":"ITEM-1","itemData":{"ISBN":"9780867157628","author":[{"dropping-particle":"","family":"Kula, Katherine Ghoneima, Ahmed","given":"Editor.","non-dropping-particle":"","parse-names":false,"suffix":""}],"id":"ITEM-1","issued":{"date-parts":[["2018"]]},"title":"Cephalometry in Orthodontics_ 2D and 3D","type":"book"},"uris":["http://www.mendeley.com/documents/?uuid=6651626d-2f44-4c2b-8c38-03e4b3220a7e"]}],"mendeley":{"formattedCitation":"&lt;sup&gt;19&lt;/sup&gt;","plainTextFormattedCitation":"19","previouslyFormattedCitation":"&lt;sup&gt;15&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19</w:t>
      </w:r>
      <w:r w:rsidRPr="00FE7BF6">
        <w:fldChar w:fldCharType="end"/>
      </w:r>
      <w:r w:rsidRPr="00FE7BF6">
        <w:rPr>
          <w:vertAlign w:val="superscript"/>
        </w:rPr>
        <w:t>)</w:t>
      </w:r>
      <w:r w:rsidR="007C30F0" w:rsidRPr="00FE7BF6">
        <w:t xml:space="preserve">. </w:t>
      </w:r>
      <w:r w:rsidRPr="00FE7BF6">
        <w:t xml:space="preserve">The </w:t>
      </w:r>
      <w:proofErr w:type="spellStart"/>
      <w:r w:rsidRPr="00FE7BF6">
        <w:t>anterio</w:t>
      </w:r>
      <w:proofErr w:type="spellEnd"/>
      <w:r w:rsidRPr="00FE7BF6">
        <w:t>-posterior aspect of the malocclusion is determined by the SNA, SNB, and ANB angles, which relate the maxillary and mandibular skeletal bases. In 1952, Riedel first suggested using this measurement to establish a relationship of the maxilla to the cranium. Adult Caucasians typically have two degrees of ANB. Class II skeletal discrepancies are indicated by significant positive numbers, while Class III discrepancies are indicated by large negative numbers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{"citationItems":[{"id":"ITEM-1","itemData":{"ISBN":"9780867157628","author":[{"dropping-particle":"","family":"Kula, Katherine Ghoneima, Ahmed","given":"Editor.","non-dropping-particle":"","parse-names":false,"suffix":""}],"id":"ITEM-1","issued":{"date-parts":[["2018"]]},"title":"Cephalometry in Orthodontics_ 2D and 3D","type":"book"},"uris":["http://www.mendeley.com/documents/?uuid=6651626d-2f44-4c2b-8c38-03e4b3220a7e"]}],"mendeley":{"formattedCitation":"&lt;sup&gt;19&lt;/sup&gt;","plainTextFormattedCitation":"19","previouslyFormattedCitation":"&lt;sup&gt;15&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19</w:t>
      </w:r>
      <w:r w:rsidRPr="00FE7BF6">
        <w:fldChar w:fldCharType="end"/>
      </w:r>
      <w:r w:rsidRPr="00FE7BF6">
        <w:rPr>
          <w:vertAlign w:val="superscript"/>
        </w:rPr>
        <w:t>)</w:t>
      </w:r>
      <w:r w:rsidR="007C30F0" w:rsidRPr="00FE7BF6">
        <w:t>.</w:t>
      </w:r>
    </w:p>
    <w:p w14:paraId="1B168A0A" w14:textId="77777777" w:rsidR="007349E2" w:rsidRDefault="00CC3469" w:rsidP="007349E2">
      <w:pPr>
        <w:pStyle w:val="Body"/>
        <w:spacing w:before="240" w:after="60" w:line="240" w:lineRule="atLeast"/>
        <w:ind w:right="476" w:firstLine="0"/>
      </w:pPr>
      <w:r w:rsidRPr="00FE7BF6">
        <w:t>Previous research suggested a correlation between different genes, facial morphology, and maxillary or mandibular discrepancy</w:t>
      </w:r>
      <w:r w:rsidR="007C30F0" w:rsidRPr="00FE7BF6">
        <w:rPr>
          <w:b/>
          <w:bCs/>
        </w:rPr>
        <w:t xml:space="preserve"> </w:t>
      </w:r>
      <w:r w:rsidRPr="00FE7BF6">
        <w:rPr>
          <w:b/>
          <w:bCs/>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{"citationItems":[{"id":"ITEM-1","itemData":{"DOI":"10.1097/SCS.0000000000003287","ISBN":"0000000000","ISSN":"15363732","PMID":"27941554","abstract":"Mandibular prognathism (MP) is considered to be a cranial-facial disorder resulting from the interaction between genes and environment. Recent studies have demonstrated that susceptible chromosomal regions and candidate genes may be responsible for MP. In this study, the authors present current views on the effect of genetic components in nonsystematic mandibular prognathism, in order to clarify the genetic etiology of MP. Data source were Electronic databases, manual searching, and reference lists checking, up to April 2016. Study selection, level of evidence assessment, and data extraction were done by 2 individuals in duplicate. Ninetyone studies were retrieved in initial electronic and manual search, and based on the established inclusion and exclusion criteria, 15 were selected for the review. In result, loci 1p36, 1q32.2, 1p22.3, 4p16.1, 6q25, 19p13, 14q24.3, 14q31.1, and 14q31.2 were thought to harbor genes that confer susceptibility to MP. Genes Matrilin-1, ADAMTS1, COL2A1, and EPB41 seemed to be strongly associated with MP while gene of growth hormone receptor was in dispute. Genetic components appeared to be associated with MP. However, in view of the variety of populations and results in related publications, further studies are necessary to clarify the genetic etiology of MP.","author":[{"dropping-particle":"","family":"Liu","given":"Hanghang","non-dropping-particle":"","parse-names":false,"suffix":""},{"dropping-particle":"","family":"Wu","given":"Chenzhou","non-dropping-particle":"","parse-names":false,"suffix":""},{"dropping-particle":"","family":"Lin","given":"Jie","non-dropping-particle":"","parse-names":false,"suffix":""},{"dropping-particle":"","family":"Shao","given":"Jun","non-dropping-particle":"","parse-names":false,"suffix":""},{"dropping-particle":"","family":"Chen","given":"Qianming","non-dropping-particle":"","parse-names":false,"suffix":""},{"dropping-particle":"","family":"Luo","given":"En","non-dropping-particle":"","parse-names":false,"suffix":""}],"container-title":"Journal of Craniofacial Surgery","id":"ITEM-1","issue":"1","issued":{"date-parts":[["2017"]]},"page":"161-169","title":"Genetic etiology in nonsyndromic mandibular prognathism","type":"article-journal","volume":"28"},"uris":["http://www.mendeley.com/documents/?uuid=a6254405-09e7-4f7c-a67b-9f84972b378a"]}],"mendeley":{"formattedCitation":"&lt;sup&gt;20&lt;/sup&gt;","plainTextFormattedCitation":"20","previouslyFormattedCitation":"&lt;sup&gt;16&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20</w:t>
      </w:r>
      <w:r w:rsidRPr="00FE7BF6">
        <w:fldChar w:fldCharType="end"/>
      </w:r>
      <w:r w:rsidRPr="00FE7BF6">
        <w:rPr>
          <w:b/>
          <w:bCs/>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{"citationItems":[{"id":"ITEM-1","itemData":{"DOI":"10.1016/j.archoralbio.2018.09.018","ISSN":"18791506","PMID":"30366217","abstract":"Objective: This study aimed to evaluate the association of genetic variants inACTN3 and MYO1H with craniofacial skeletal patterns in Brazilians. Design: This cross-sectional study enrolled orthodontic and orthognathic patients selected from 4 regions of Brazil. Lateral cephalograms were used and digital cephalometric tracings and analyzes were performed for craniofacial phenotype determination. Participants were classified according to the skeletal malocclusion in Class I, II or III; and according to the facial type in Mesofacial, Dolichofacial or Brachyfacial. Genomic DNA was extracted from saliva samples containing exfoliated buccal epithelial cells and analyzed for genetic variants inACTN3 (rs678397 and rs1815739) and MYO1H (rs10850110) by real-time PCR. Chi-square or Fisher's exact tests were used for statistical analysis (α = 5%). Results: A total of 646 patients were included in the present study. There was statistically significant association of the genotypes and/or alleles distributions with the skeletal malocclusion (sagittal skeletal pattern) and facial type (vertical pattern) for the variants assessed inACTN3 (P &lt; 0.05). For the genetic variant evaluated in MYO1H, there was statistically significant difference between the genotypes frequencies for skeletal Class I and Class II (P &lt; 0.05). The reported associations were different depending on the region evaluated. Conclusion: ACTN3 and MYO1H are associated with sagittal and vertical craniofacial skeletal patterns in Brazilian populations.","author":[{"dropping-particle":"","family":"Cunha","given":"Arthur","non-dropping-particle":"","parse-names":false,"suffix":""},{"dropping-particle":"","family":"Nelson-Filho","given":"Paulo","non-dropping-particle":"","parse-names":false,"suffix":""},{"dropping-particle":"","family":"Marañón-Vásquez","given":"Guido Artemio","non-dropping-particle":"","parse-names":false,"suffix":""},{"dropping-particle":"","family":"Ramos","given":"Alice Gomes de Carvalho","non-dropping-particle":"","parse-names":false,"suffix":""},{"dropping-particle":"","family":"Dantas","given":"Beatriz","non-dropping-particle":"","parse-names":false,"suffix":""},{"dropping-particle":"","family":"Sebastiani","given":"Aline Monise","non-dropping-particle":"","parse-names":false,"suffix":""},{"dropping-particle":"","family":"Silvério","given":"Felipe","non-dropping-particle":"","parse-names":false,"suffix":""},{"dropping-particle":"","family":"Omori","given":"Marjorie Ayumi","non-dropping-particle":"","parse-names":false,"suffix":""},{"dropping-particle":"","family":"Rodrigues","given":"Amanda Silva","non-dropping-particle":"","parse-names":false,"suffix":""},{"dropping-particle":"","family":"Teixeira","given":"Ellen Cardoso","non-dropping-particle":"","parse-names":false,"suffix":""},{"dropping-particle":"","family":"Levy","given":"Simone Carvalho","non-dropping-particle":"","parse-names":false,"suffix":""},{"dropping-particle":"de","family":"Araújo","given":"Marcelo Calvo","non-dropping-particle":"","parse-names":false,"suffix":""},{"dropping-particle":"","family":"Matsumoto","given":"Mírian Aiko Nakane","non-dropping-particle":"","parse-names":false,"suffix":""},{"dropping-particle":"","family":"Romano","given":"Fábio Lourenço","non-dropping-particle":"","parse-names":false,"suffix":""},{"dropping-particle":"","family":"Antunes","given":"Lívia Azeredo A.","non-dropping-particle":"","parse-names":false,"suffix":""},{"dropping-particle":"da","family":"Costa","given":"Delson João","non-dropping-particle":"","parse-names":false,"suffix":""},{"dropping-particle":"","family":"Scariot","given":"Rafaela","non-dropping-particle":"","parse-names":false,"suffix":""},{"dropping-particle":"","family":"Antunes","given":"Leonardo Santos","non-dropping-particle":"","parse-names":false,"suffix":""},{"dropping-particle":"","family":"Vieira","given":"Alexandre R.","non-dropping-particle":"","parse-names":false,"suffix":""},{"dropping-particle":"","family":"Küchler","given":"Erika C.","non-dropping-particle":"","parse-names":false,"suffix":""}],"container-title":"Archives of Oral Biology","id":"ITEM-1","issued":{"date-parts":[["2019"]]},"page":"85-90","publisher":"Elsevier Ltd","title":"Genetic variants in ACTN3 and MYO1H are associated with sagittal and vertical craniofacial skeletal patterns","type":"article-journal","volume":"97"},"uris":["http://www.mendeley.com/documents/?uuid=64411ba6-0ec3-41db-80e1-e5dfe6cbd304"]}],"mendeley":{"formattedCitation":"&lt;sup&gt;21&lt;/sup&gt;","plainTextFormattedCitation":"21","previouslyFormattedCitation":"&lt;sup&gt;17&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21</w:t>
      </w:r>
      <w:r w:rsidRPr="00FE7BF6">
        <w:fldChar w:fldCharType="end"/>
      </w:r>
      <w:r w:rsidRPr="00FE7BF6">
        <w:rPr>
          <w:b/>
          <w:bCs/>
          <w:vertAlign w:val="superscript"/>
        </w:rPr>
        <w:t>)</w:t>
      </w:r>
      <w:r w:rsidR="007C30F0" w:rsidRPr="00FE7BF6">
        <w:t xml:space="preserve">. </w:t>
      </w:r>
      <w:r w:rsidRPr="00FE7BF6">
        <w:t xml:space="preserve">The phenotypic genetic tendency of the maxilla and mandible has been related to several risk loci. Numerous gene loci, including the </w:t>
      </w:r>
      <w:r w:rsidRPr="00FE7BF6">
        <w:rPr>
          <w:i/>
          <w:iCs/>
        </w:rPr>
        <w:t>COL1A1</w:t>
      </w:r>
      <w:r w:rsidRPr="00FE7BF6">
        <w:t xml:space="preserve"> gene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{"citationItems":[{"id":"ITEM-1","itemData":{"DOI":"10.1177/0022034515581643","ISSN":"15440591","PMID":"25910506","abstract":"This study evaluated associations between craniofacial candidate genes and skeletal variation in patients with malocclusion. Lateral cephalometric radiographs of 269 untreated adults with skeletal classes I, II, and III malocclusion were digitized with 14 landmarks. Twodimensional coordinates were analyzed using Procrustes fit and principal component (PC) analysis to generate continuous malocclusion phenotypes. Skeletal class classifications (I, II, or III) were used as a categorical phenotype. Individuals were genotyped for 198 singlenucleotide polymorphisms (SNPs) in 71 craniofacial genes and loci. Phenotype-genotype associations were tested via multivariate linear regression for continuous phenotypes and multinomial logistic regression for skeletal malocclusion class. PC analysis resulted in 4 principal components (PCs) explaining 69% of the total skeletal facial variation. PC1 explained 32.7% of the variation and depicted vertical discrepancies ranging from skeletal deep to open bites. PC1 was associated with a SNP near PAX5 (P = 0.01). PC2 explained 21.7% and captured horizontal maxillomandibular discrepancies. PC2 was associated with SNPs upstream of SNAI3 (P = 0.0002) and MYO1H (P = 0.006). PC3 explained 8.2% and captured variation in ramus height, body length, and anterior cranial base orientation. PC3 was associated with TWIST1 (P = 0.000076). Finally, PC4 explained 6.6% and detected variation in condylar inclination as well as symphysis projection. PC4 was associated with PAX7 (P = 0.007). Furthermore, skeletal class II risk increased relative to class I with the minor alleles of SNPs in FGFR2 (odds ratio [OR] = 2.1, P = 0.004) and declined with SNPs in EDN1 (OR = 0.5, P = 0.007). Conversely, skeletal class III risk increased versus class I with SNPs in FGFR2 (OR 2.2, P = 0.005) and COL1A1 (OR = 2.1, P = 0.008) and declined with SNPs in TBX5 (OR = 0.5, P = 0.014). PAX5, SNAI3, MYO1H, TWIST1, and PAX7 are associated with craniofacial skeletal variation among patients with malocclusion, while FGFR2, EDN1, TBX5, and COL1A1 are associated with type of skeletal malocclusion.","author":[{"dropping-particle":"","family":"Fontoura","given":"C. S.G.","non-dropping-particle":"Da","parse-names":false,"suffix":""},{"dropping-particle":"","family":"Miller","given":"S. F.","non-dropping-particle":"","parse-names":false,"suffix":""},{"dropping-particle":"","family":"Wehby","given":"G. L.","non-dropping-particle":"","parse-names":false,"suffix":""},{"dropping-particle":"","family":"Amendt","given":"B. A.","non-dropping-particle":"","parse-names":false,"suffix":""},{"dropping-particle":"","family":"Holton","given":"N. E.","non-dropping-particle":"","parse-names":false,"suffix":""},{"dropping-particle":"","family":"Southard","given":"T. E.","non-dropping-particle":"","parse-names":false,"suffix":""},{"dropping-particle":"","family":"Allareddy","given":"V.","non-dropping-particle":"","parse-names":false,"suffix":""},{"dropping-particle":"","family":"Moreno Uribe","given":"L. M.","non-dropping-particle":"","parse-names":false,"suffix":""}],"container-title":"Journal of Dental Research","id":"ITEM-1","issue":"7","issued":{"date-parts":[["2015"]]},"page":"913-920","title":"Candidate gene analyses of skeletal variation in malocclusion","type":"article-journal","volume":"94"},"uris":["http://www.mendeley.com/documents/?uuid=f4ff787f-d718-4d82-be38-508052e3c541"]}],"mendeley":{"formattedCitation":"&lt;sup&gt;22&lt;/sup&gt;","plainTextFormattedCitation":"22","previouslyFormattedCitation":"&lt;sup&gt;18&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22</w:t>
      </w:r>
      <w:r w:rsidRPr="00FE7BF6">
        <w:fldChar w:fldCharType="end"/>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{"citationItems":[{"id":"ITEM-1","itemData":{"DOI":"10.1055/s-0042-1744371","ISSN":"13057464","abstract":"Objective The aim of this article is to analyze and compare the presence of single-nucleotide polymorphisms (SNPs) of COL1A1 and FGFR2 in class II and class III Javanese populations. Materials and Methods Cephalometric radiographs from total 63 patients of class II and III were analyzed. SNP analysis was performed based on both COL1A1 and FGFR2 sequences amplified from total DNA of patients' fresh blood. Principal component analysis was done to calculate the data and find the correlation of the cephalometric indicators influenced by each mutation. t -test and Mann-Whitney analysis were performed to check the significance of differences occurred in each studied parameter (p &lt; 0.05). Result There were three COL1A1 SNPs found in class II and only two in class III, while three FGFR2 SNPs found in both classes. Class II phenotype seemed to be strongly influenced by Y-axis and mandibular plane angle, while class III by lower gonial angle and mandibular plane angle. Conclusion Based on this study, we suggest that rs2249492 of COL1A1 and rs2981582 of FGFR2 play important roles in class III, while rs2277632 of COL1A1 and rs2981582 of FGFR2 play important role in class II skeletal malocclusion in Javanese population.","author":[{"dropping-particle":"","family":"Ardani","given":"I. Gusti Aju Wahju","non-dropping-particle":"","parse-names":false,"suffix":""},{"dropping-particle":"","family":"Budipramana","given":"Melisa","non-dropping-particle":"","parse-names":false,"suffix":""},{"dropping-particle":"","family":"Rachmawati","given":"Erlina","non-dropping-particle":"","parse-names":false,"suffix":""},{"dropping-particle":"","family":"Nugraha","given":"Alexander Patera","non-dropping-particle":"","parse-names":false,"suffix":""},{"dropping-particle":"","family":"Ardana","given":"I. Kade Karisma Gita","non-dropping-particle":"","parse-names":false,"suffix":""},{"dropping-particle":"","family":"Budhy","given":"Theresia Indah","non-dropping-particle":"","parse-names":false,"suffix":""},{"dropping-particle":"","family":"Hassan","given":"Rozita","non-dropping-particle":"","parse-names":false,"suffix":""},{"dropping-particle":"","family":"Listyorini","given":"Dwi","non-dropping-particle":"","parse-names":false,"suffix":""},{"dropping-particle":"","family":"Sarno","given":"Riyanarto","non-dropping-particle":"","parse-names":false,"suffix":""}],"container-title":"European Journal of Dentistry","id":"ITEM-1","issue":"1","issued":{"date-parts":[["2022"]]},"page":"183-190","title":"COL1A1 and FGFR2 Single-Nucleotide Polymorphisms Found in Class II and Class III Skeletal Malocclusions in Javanese Population","type":"article-journal","volume":"17"},"uris":["http://www.mendeley.com/documents/?uuid=6f8828ed-2769-44ae-aa9d-321d2a51cf25"]}],"mendeley":{"formattedCitation":"&lt;sup&gt;23&lt;/sup&gt;","plainTextFormattedCitation":"23","previouslyFormattedCitation":"&lt;sup&gt;19&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23</w:t>
      </w:r>
      <w:r w:rsidRPr="00FE7BF6">
        <w:fldChar w:fldCharType="end"/>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{"citationItems":[{"id":"ITEM-1","itemData":{"DOI":"10.2298/GENSR2202777M","ISSN":"18206069","abstract":"Mandibular prognathism (MP) belongs to malocclusions of skeletal Class III and is characterized by overgrowth of the lower jaw with or without undergrowth of the upper jaw. MP etiology is multifactorial, including both environmental and genetic factors. It is conceivable that single nucleotide polymorphisms (SNPs) in genes controlling craniofacial development might contribute to MP. The aim of the present study was to establish a potential association between COL1A1 -1997 G&gt;T (rs1107946) and MMP9 -1562 C&gt;T (rs3918242) SNPs and MP in Serbian population. This case-control study included 120 participants: 60 patients with MP and 60 controls with skeletal Class I. The two SNPs were analyzed by means of polymerase chain reaction-restriction fragment length polymorphism (PCR-RFLP) method. The association of gene variants with MP risk was determined by calculating odds ratios (OR) and their 95% confidence intervals (CI).There was no difference in SNPs allele frequencies, and no difference could be observed in MMP9 -1562 C&gt;T genotypes distribution between cases and controls. However, the TT genotype of COL1A1-1997 G/T (rs1107946) polymorphism was associated with a two-fold increase of mandibular prognathism risk, though with a borderline statistical significance (OR 2.32, CI 0.97-5.53, p=0.055). COL1A1-1997 G/T (rs1107946) appears to be implicated in Class III mandibular prognathism while MMP9 - 1562 C/T (rs3918242) does not seem to be a risk factor for the development of this type of craniofacial anomaly.","author":[{"dropping-particle":"","family":"Milosevic","given":"Olga","non-dropping-particle":"","parse-names":false,"suffix":""},{"dropping-particle":"","family":"Nikolic","given":"Nadja","non-dropping-particle":"","parse-names":false,"suffix":""},{"dropping-particle":"","family":"Carkic","given":"Jelena","non-dropping-particle":"","parse-names":false,"suffix":""},{"dropping-particle":"","family":"Majstorović","given":"Nemanja","non-dropping-particle":"","parse-names":false,"suffix":""},{"dropping-particle":"","family":"Glisic","given":"Branislav","non-dropping-particle":"","parse-names":false,"suffix":""},{"dropping-particle":"","family":"Milasin","given":"Jelena","non-dropping-particle":"","parse-names":false,"suffix":""}],"container-title":"Genetika","id":"ITEM-1","issue":"2","issued":{"date-parts":[["2022"]]},"page":"777-786","title":"Analysis of Col1a1 and Mmp9 Single Nucleotide Polymorphisms in Mandibular Prognathism","type":"article-journal","volume":"54"},"uris":["http://www.mendeley.com/documents/?uuid=f3758b3c-c137-4566-b0c2-8d75be78ef5d"]}],"mendeley":{"formattedCitation":"&lt;sup&gt;24&lt;/sup&gt;","plainTextFormattedCitation":"24","previouslyFormattedCitation":"&lt;sup&gt;20&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24</w:t>
      </w:r>
      <w:r w:rsidRPr="00FE7BF6">
        <w:fldChar w:fldCharType="end"/>
      </w:r>
      <w:r w:rsidRPr="00FE7BF6">
        <w:rPr>
          <w:vertAlign w:val="superscript"/>
        </w:rPr>
        <w:t>)</w:t>
      </w:r>
      <w:r w:rsidR="007C30F0" w:rsidRPr="00FE7BF6">
        <w:t>,</w:t>
      </w:r>
      <w:r w:rsidRPr="00FE7BF6">
        <w:t xml:space="preserve">the </w:t>
      </w:r>
      <w:r w:rsidRPr="00FE7BF6">
        <w:rPr>
          <w:i/>
          <w:iCs/>
        </w:rPr>
        <w:t>SOX2</w:t>
      </w:r>
      <w:r w:rsidRPr="00FE7BF6">
        <w:t xml:space="preserve"> gene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11&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13</w:t>
      </w:r>
      <w:r w:rsidRPr="00FE7BF6">
        <w:fldChar w:fldCharType="end"/>
      </w:r>
      <w:r w:rsidRPr="00FE7BF6">
        <w:rPr>
          <w:vertAlign w:val="superscript"/>
        </w:rPr>
        <w:t>)</w:t>
      </w:r>
      <w:r w:rsidR="007C30F0" w:rsidRPr="00FE7BF6">
        <w:t xml:space="preserve">, </w:t>
      </w:r>
      <w:r w:rsidRPr="00FE7BF6">
        <w:t>the fibroblast growth factor 1 (</w:t>
      </w:r>
      <w:r w:rsidRPr="00FE7BF6">
        <w:rPr>
          <w:i/>
          <w:iCs/>
        </w:rPr>
        <w:t>FGFR1</w:t>
      </w:r>
      <w:r w:rsidRPr="00FE7BF6">
        <w:t>) gene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{"citationItems":[{"id":"ITEM-1","itemData":{"DOI":"10.1097/MD.0000000000007240","ISBN":"0000000000","ISSN":"15365964","PMID":"28640125","abstract":"To identify variants of the genes in fibroblast growth factors/fibroblast growth factor receptors (FGF/FGFR) signal pathway that predispose to mandibular prognathism (MP) in the general Chinese population systematically. Targeted sequencing of the FGF/FGFR genes was conducted in 176 MP individuals and 155 class I malocclusion controls. The associations of common and rare variants with MP as a categorical phenotype and also continuous malocclusion phenotypes generated by principal component (PC) analysis were analyzed. One common variant, rs372127537, located in the 3'-untranslated region of FGF7 gene, was significantly related to PC1 (P= 4.22×10-4), which explained 23.23% of the overall phenotypic variation observed and corresponded to vertical discrepancies ranging from short anterior face height to long anterior face height, after Bonferroni correction. Also, 15 other variants were associated with PC1-4, although not significant after multiple corrections (P&lt;.05). We also identified 3 variants: rs13317 in FGFR1, rs149242678 in FGF20, and rs79176051 FGF12 associated with MP (P&lt;.05). With respect to rare variant analysis, variants within the FGF12 gene showed significant association with MP (P=.001). Association between FGF/FGFR signaling pathway and MP has been identified. We found a previously unreported SNP in FGF7 significantly related to increased facial height. Also, rare variants within the FGF12 were associated with MP. Our results provide new clues for genetic mechanisms of MP and shed light on strategies for evaluating rare variants that underlie complex traits. Future studies with larger sample sizes and more comprehensive genome coverage, and also in other population are required to replicate these findings.","author":[{"dropping-particle":"","family":"Xiong","given":"Xueyan","non-dropping-particle":"","parse-names":false,"suffix":""},{"dropping-particle":"","family":"Li","given":"Shuyuan","non-dropping-particle":"","parse-names":false,"suffix":""},{"dropping-particle":"","family":"Cai","given":"Ying","non-dropping-particle":"","parse-names":false,"suffix":""},{"dropping-particle":"","family":"Chen","given":"Fengshan","non-dropping-particle":"","parse-names":false,"suffix":""},{"dropping-particle":"","family":"Liu","given":"Jian","non-dropping-particle":"","parse-names":false,"suffix":""}],"container-title":"Medicine (United States)","id":"ITEM-1","issue":"25","issued":{"date-parts":[["2017"]]},"page":"1-7","title":"Targeted sequencing in FGF/FGFR genes and association analysis of variants for mandibular prognathism","type":"article-journal","volume":"96"},"uris":["http://www.mendeley.com/documents/?uuid=ebb2c9e6-9ad8-4f3e-a535-fc29c75e6497"]}],"mendeley":{"formattedCitation":"&lt;sup&gt;25&lt;/sup&gt;","plainTextFormattedCitation":"25","previouslyFormattedCitation":"&lt;sup&gt;21&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25</w:t>
      </w:r>
      <w:r w:rsidRPr="00FE7BF6">
        <w:fldChar w:fldCharType="end"/>
      </w:r>
      <w:r w:rsidRPr="00FE7BF6">
        <w:rPr>
          <w:vertAlign w:val="superscript"/>
        </w:rPr>
        <w:t>)</w:t>
      </w:r>
      <w:r w:rsidR="007C30F0" w:rsidRPr="00FE7BF6">
        <w:t xml:space="preserve">, </w:t>
      </w:r>
      <w:r w:rsidRPr="00FE7BF6">
        <w:t>the fibroblast growth factor 2 (</w:t>
      </w:r>
      <w:r w:rsidRPr="00FE7BF6">
        <w:rPr>
          <w:i/>
          <w:iCs/>
        </w:rPr>
        <w:t>FGFR2</w:t>
      </w:r>
      <w:r w:rsidRPr="00FE7BF6">
        <w:t>) gene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{"citationItems":[{"id":"ITEM-1","itemData":{"DOI":"10.1177/0022034515581643","ISSN":"15440591","PMID":"25910506","abstract":"This study evaluated associations between craniofacial candidate genes and skeletal variation in patients with malocclusion. Lateral cephalometric radiographs of 269 untreated adults with skeletal classes I, II, and III malocclusion were digitized with 14 landmarks. Twodimensional coordinates were analyzed using Procrustes fit and principal component (PC) analysis to generate continuous malocclusion phenotypes. Skeletal class classifications (I, II, or III) were used as a categorical phenotype. Individuals were genotyped for 198 singlenucleotide polymorphisms (SNPs) in 71 craniofacial genes and loci. Phenotype-genotype associations were tested via multivariate linear regression for continuous phenotypes and multinomial logistic regression for skeletal malocclusion class. PC analysis resulted in 4 principal components (PCs) explaining 69% of the total skeletal facial variation. PC1 explained 32.7% of the variation and depicted vertical discrepancies ranging from skeletal deep to open bites. PC1 was associated with a SNP near PAX5 (P = 0.01). PC2 explained 21.7% and captured horizontal maxillomandibular discrepancies. PC2 was associated with SNPs upstream of SNAI3 (P = 0.0002) and MYO1H (P = 0.006). PC3 explained 8.2% and captured variation in ramus height, body length, and anterior cranial base orientation. PC3 was associated with TWIST1 (P = 0.000076). Finally, PC4 explained 6.6% and detected variation in condylar inclination as well as symphysis projection. PC4 was associated with PAX7 (P = 0.007). Furthermore, skeletal class II risk increased relative to class I with the minor alleles of SNPs in FGFR2 (odds ratio [OR] = 2.1, P = 0.004) and declined with SNPs in EDN1 (OR = 0.5, P = 0.007). Conversely, skeletal class III risk increased versus class I with SNPs in FGFR2 (OR 2.2, P = 0.005) and COL1A1 (OR = 2.1, P = 0.008) and declined with SNPs in TBX5 (OR = 0.5, P = 0.014). PAX5, SNAI3, MYO1H, TWIST1, and PAX7 are associated with craniofacial skeletal variation among patients with malocclusion, while FGFR2, EDN1, TBX5, and COL1A1 are associated with type of skeletal malocclusion.","author":[{"dropping-particle":"","family":"Fontoura","given":"C. S.G.","non-dropping-particle":"Da","parse-names":false,"suffix":""},{"dropping-particle":"","family":"Miller","given":"S. F.","non-dropping-particle":"","parse-names":false,"suffix":""},{"dropping-particle":"","family":"Wehby","given":"G. L.","non-dropping-particle":"","parse-names":false,"suffix":""},{"dropping-particle":"","family":"Amendt","given":"B. A.","non-dropping-particle":"","parse-names":false,"suffix":""},{"dropping-particle":"","family":"Holton","given":"N. E.","non-dropping-particle":"","parse-names":false,"suffix":""},{"dropping-particle":"","family":"Southard","given":"T. E.","non-dropping-particle":"","parse-names":false,"suffix":""},{"dropping-particle":"","family":"Allareddy","given":"V.","non-dropping-particle":"","parse-names":false,"suffix":""},{"dropping-particle":"","family":"Moreno Uribe","given":"L. M.","non-dropping-particle":"","parse-names":false,"suffix":""}],"container-title":"Journal of Dental Research","id":"ITEM-1","issue":"7","issued":{"date-parts":[["2015"]]},"page":"913-920","title":"Candidate gene analyses of skeletal variation in malocclusion","type":"article-journal","volume":"94"},"uris":["http://www.mendeley.com/documents/?uuid=f4ff787f-d718-4d82-be38-508052e3c541"]}],"mendeley":{"formattedCitation":"&lt;sup&gt;22&lt;/sup&gt;","plainTextFormattedCitation":"22","previouslyFormattedCitation":"&lt;sup&gt;18&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22</w:t>
      </w:r>
      <w:r w:rsidRPr="00FE7BF6">
        <w:fldChar w:fldCharType="end"/>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{"citationItems":[{"id":"ITEM-1","itemData":{"DOI":"10.1055/s-0042-1744371","ISSN":"13057464","abstract":"Objective The aim of this article is to analyze and compare the presence of single-nucleotide polymorphisms (SNPs) of COL1A1 and FGFR2 in class II and class III Javanese populations. Materials and Methods Cephalometric radiographs from total 63 patients of class II and III were analyzed. SNP analysis was performed based on both COL1A1 and FGFR2 sequences amplified from total DNA of patients' fresh blood. Principal component analysis was done to calculate the data and find the correlation of the cephalometric indicators influenced by each mutation. t -test and Mann-Whitney analysis were performed to check the significance of differences occurred in each studied parameter (p &lt; 0.05). Result There were three COL1A1 SNPs found in class II and only two in class III, while three FGFR2 SNPs found in both classes. Class II phenotype seemed to be strongly influenced by Y-axis and mandibular plane angle, while class III by lower gonial angle and mandibular plane angle. Conclusion Based on this study, we suggest that rs2249492 of COL1A1 and rs2981582 of FGFR2 play important roles in class III, while rs2277632 of COL1A1 and rs2981582 of FGFR2 play important role in class II skeletal malocclusion in Javanese population.","author":[{"dropping-particle":"","family":"Ardani","given":"I. Gusti Aju Wahju","non-dropping-particle":"","parse-names":false,"suffix":""},{"dropping-particle":"","family":"Budipramana","given":"Melisa","non-dropping-particle":"","parse-names":false,"suffix":""},{"dropping-particle":"","family":"Rachmawati","given":"Erlina","non-dropping-particle":"","parse-names":false,"suffix":""},{"dropping-particle":"","family":"Nugraha","given":"Alexander Patera","non-dropping-particle":"","parse-names":false,"suffix":""},{"dropping-particle":"","family":"Ardana","given":"I. Kade Karisma Gita","non-dropping-particle":"","parse-names":false,"suffix":""},{"dropping-particle":"","family":"Budhy","given":"Theresia Indah","non-dropping-particle":"","parse-names":false,"suffix":""},{"dropping-particle":"","family":"Hassan","given":"Rozita","non-dropping-particle":"","parse-names":false,"suffix":""},{"dropping-particle":"","family":"Listyorini","given":"Dwi","non-dropping-particle":"","parse-names":false,"suffix":""},{"dropping-particle":"","family":"Sarno","given":"Riyanarto","non-dropping-particle":"","parse-names":false,"suffix":""}],"container-title":"European Journal of Dentistry","id":"ITEM-1","issue":"1","issued":{"date-parts":[["2022"]]},"page":"183-190","title":"COL1A1 and FGFR2 Single-Nucleotide Polymorphisms Found in Class II and Class III Skeletal Malocclusions in Javanese Population","type":"article-journal","volume":"17"},"uris":["http://www.mendeley.com/documents/?uuid=6f8828ed-2769-44ae-aa9d-321d2a51cf25"]}],"mendeley":{"formattedCitation":"&lt;sup&gt;23&lt;/sup&gt;","plainTextFormattedCitation":"23","previouslyFormattedCitation":"&lt;sup&gt;19&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23</w:t>
      </w:r>
      <w:r w:rsidRPr="00FE7BF6">
        <w:fldChar w:fldCharType="end"/>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{"citationItems":[{"id":"ITEM-1","itemData":{"DOI":"10.1177/0022034519872951","ISSN":"15440591","PMID":"31509720","abstract":"Fibroblast growth factor receptor 2 (FGFR2) in craniofacial bones mediates osteoprogenitor proliferation, differentiation, and apoptosis. The distortion of proper craniofacial bone growth may cause class II and class III skeletal malocclusion and result in compromised function and aesthetics. Here, we investigated the association between variations in FGFR2 and skeletal malocclusions. First, 895 subjects were included in a 2-stage case-control study with independent populations (stage 1: n = 138 class I, 111 class II, and 81 class III; stage 2: n = 279 class I, 187 class II, and 99 class III). Eight candidate single-nucleotide polymorphisms (SNPs) in FGFR2 were screened and validated. Five SNPs (rs2162540, rs2981578, rs1078806, rs11200014, and rs10736303) were found to be associated with skeletal malocclusions (all P &lt; 0.05). That is, rs2162540 was significantly associated with skeletal class II malocclusion, while others were associated with skeletal class III malocclusion. Electrophoretic mobility shift assay and chromatin immunoprecipitation analysis showed that the common genotypes of rs2981578 and rs10736303 contained the binding sites of RUNX2 and SMAD4. Compared with the common genotypes, the minor genotypes at these 2 SNPs decreased the binding affinity and enhancer effect of RUNX2 and SMAD4, as well the levels of FGFR2 expression. In addition, FGFR2 expression contributed positively to osteogenic differentiation in vitro. Thus, we identified FGFR2 as a skeletal malocclusion risk gene, and FGFR2 polymorphisms regulated its transcriptional expression and then osteogenic differentiation.","author":[{"dropping-particle":"","family":"Jiang","given":"Q.","non-dropping-particle":"","parse-names":false,"suffix":""},{"dropping-particle":"","family":"Mei","given":"L.","non-dropping-particle":"","parse-names":false,"suffix":""},{"dropping-particle":"","family":"Zou","given":"Y.","non-dropping-particle":"","parse-names":false,"suffix":""},{"dropping-particle":"","family":"Ding","given":"Q.","non-dropping-particle":"","parse-names":false,"suffix":""},{"dropping-particle":"","family":"Cannon","given":"R. D.","non-dropping-particle":"","parse-names":false,"suffix":""},{"dropping-particle":"","family":"Chen","given":"H.","non-dropping-particle":"","parse-names":false,"suffix":""},{"dropping-particle":"","family":"Li","given":"H.","non-dropping-particle":"","parse-names":false,"suffix":""}],"container-title":"Journal of Dental Research","id":"ITEM-1","issue":"12","issued":{"date-parts":[["2019"]]},"page":"1340-1347","title":"Genetic Polymorphisms in FGFR2 Underlie Skeletal Malocclusion","type":"article-journal","volume":"98"},"uris":["http://www.mendeley.com/documents/?uuid=9a5c092c-6217-492a-aecb-12ba75f027dc"]}],"mendeley":{"formattedCitation":"&lt;sup&gt;26&lt;/sup&gt;","plainTextFormattedCitation":"26","previouslyFormattedCitation":"&lt;sup&gt;22&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26</w:t>
      </w:r>
      <w:r w:rsidRPr="00FE7BF6">
        <w:fldChar w:fldCharType="end"/>
      </w:r>
      <w:r w:rsidRPr="00FE7BF6">
        <w:rPr>
          <w:vertAlign w:val="superscript"/>
        </w:rPr>
        <w:t>)</w:t>
      </w:r>
      <w:r w:rsidR="007C30F0" w:rsidRPr="00FE7BF6">
        <w:t xml:space="preserve">, </w:t>
      </w:r>
      <w:r w:rsidRPr="00FE7BF6">
        <w:t xml:space="preserve">and </w:t>
      </w:r>
      <w:r w:rsidRPr="00FE7BF6">
        <w:rPr>
          <w:i/>
          <w:iCs/>
        </w:rPr>
        <w:t xml:space="preserve">MAFB </w:t>
      </w:r>
      <w:r w:rsidRPr="00FE7BF6">
        <w:t>gene</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11&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13</w:t>
      </w:r>
      <w:r w:rsidRPr="00FE7BF6">
        <w:fldChar w:fldCharType="end"/>
      </w:r>
      <w:r w:rsidRPr="00FE7BF6">
        <w:rPr>
          <w:vertAlign w:val="superscript"/>
        </w:rPr>
        <w:t>)</w:t>
      </w:r>
      <w:r w:rsidR="007C30F0" w:rsidRPr="00FE7BF6">
        <w:t>,</w:t>
      </w:r>
      <w:r w:rsidRPr="00FE7BF6">
        <w:t xml:space="preserve"> have been linked to</w:t>
      </w:r>
      <w:r w:rsidR="00E31008" w:rsidRPr="00FE7BF6">
        <w:t xml:space="preserve"> class III malocclusion and </w:t>
      </w:r>
      <w:r w:rsidRPr="00FE7BF6">
        <w:t>mandibular prognathism.</w:t>
      </w:r>
    </w:p>
    <w:p w14:paraId="79530B25" w14:textId="4ABA745A" w:rsidR="00CC3469" w:rsidRPr="00FE7BF6" w:rsidRDefault="00CC3469" w:rsidP="007349E2">
      <w:pPr>
        <w:pStyle w:val="Body"/>
        <w:spacing w:before="240" w:after="60" w:line="240" w:lineRule="atLeast"/>
        <w:ind w:right="476" w:firstLine="0"/>
      </w:pPr>
      <w:r w:rsidRPr="00FE7BF6">
        <w:t xml:space="preserve">The </w:t>
      </w:r>
      <w:r w:rsidRPr="00FE7BF6">
        <w:rPr>
          <w:i/>
          <w:iCs/>
        </w:rPr>
        <w:t>COL1A1</w:t>
      </w:r>
      <w:r w:rsidRPr="00FE7BF6">
        <w:t xml:space="preserve"> gene's genetic polymorphism has a clinically significant effect on bone remodeling</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{"citationItems":[{"id":"ITEM-1","itemData":{"DOI":"10.1016/j.ijom.2016.06.010","ISSN":"13990020","PMID":"27371342","abstract":"The G/T polymorphism of the COL1A1 gene exhibits a clinically significant influence on bone remodelling, leading to a predisposition to degenerative diseases. The enhancement of bone turnover and further loss of bone mass are thought to be the primary pathological changes in the early degenerative course of temporomandibular joint osteoarthritis (TMJ OA), with the appearance of low-density lesions. Thus, it was hypothesized that this polymorphism may also affect this type of bone lesion in TMJ OA. A total of 130 TMJ OA patients with low-density lesions (cortical bone erosion, condylar head resorption, cyst-like lesion) and 186 healthy individuals were recruited. DNA samples were extracted from buccal mucosa swabs; genotyping was performed by high-resolution melting assay. The distribution of genotypes in these groups was compared using a multivariate logistic regression model. No significant differences in the distributions of TT and TG genotypes were observed between the groups (P &gt; 0.05). Significance was detected for GG homozygous carriers (P = 0.043); this genotype might be a risk factor for this type of low-density lesion (odds ratio 1.643, 95% confidence interval 1.016–2.658). This study indicates that the GG genotype might be a risk factor for low-density lesions in the TMJ.","author":[{"dropping-particle":"","family":"Luo","given":"S.","non-dropping-particle":"","parse-names":false,"suffix":""},{"dropping-particle":"","family":"Long","given":"X.","non-dropping-particle":"","parse-names":false,"suffix":""},{"dropping-particle":"","family":"Deng","given":"M.","non-dropping-particle":"","parse-names":false,"suffix":""},{"dropping-particle":"","family":"Meng","given":"Q.","non-dropping-particle":"","parse-names":false,"suffix":""},{"dropping-particle":"","family":"Ke","given":"J.","non-dropping-particle":"","parse-names":false,"suffix":""},{"dropping-particle":"","family":"Guo","given":"H.","non-dropping-particle":"","parse-names":false,"suffix":""}],"container-title":"International Journal of Oral and Maxillofacial Surgery","id":"ITEM-1","issue":"12","issued":{"date-parts":[["2016"]]},"page":"1551-1555","title":"Association of COL1A1 polymorphism with subchondral bone degeneration of the temporomandibular joint","type":"article-journal","volume":"45"},"uris":["http://www.mendeley.com/documents/?uuid=8aef9382-c13f-452a-bded-0170c957b0f9"]}],"mendeley":{"formattedCitation":"&lt;sup&gt;27&lt;/sup&gt;","plainTextFormattedCitation":"27","previouslyFormattedCitation":"&lt;sup&gt;23&lt;/sup&gt;"},"properties":{"noteIndex":0},"schema":"https://github.com/citation-style-language/schema/raw/master/csl-citation.json"}</w:instrText>
      </w:r>
      <w:r w:rsidRPr="00FE7BF6">
        <w:rPr>
          <w:b/>
          <w:bCs/>
          <w:vertAlign w:val="superscript"/>
        </w:rPr>
        <w:fldChar w:fldCharType="separate"/>
      </w:r>
      <w:r w:rsidR="00EC7BA8" w:rsidRPr="00FE7BF6">
        <w:rPr>
          <w:bCs/>
          <w:vertAlign w:val="superscript"/>
        </w:rPr>
        <w:t>27</w:t>
      </w:r>
      <w:r w:rsidRPr="00FE7BF6">
        <w:fldChar w:fldCharType="end"/>
      </w:r>
      <w:r w:rsidRPr="00FE7BF6">
        <w:rPr>
          <w:vertAlign w:val="superscript"/>
        </w:rPr>
        <w:t>)</w:t>
      </w:r>
      <w:r w:rsidR="007C30F0" w:rsidRPr="00FE7BF6">
        <w:rPr>
          <w:b/>
          <w:bCs/>
        </w:rPr>
        <w:t xml:space="preserve">. </w:t>
      </w:r>
      <w:r w:rsidRPr="00FE7BF6">
        <w:t xml:space="preserve">The periosteum of the mandibular bone, the mandibular condylar cartilage, the perichondrium of Meckel's cartilage, and the bone collar of the cranial base cartilage all contain </w:t>
      </w:r>
      <w:r w:rsidRPr="00FE7BF6">
        <w:rPr>
          <w:i/>
          <w:iCs/>
        </w:rPr>
        <w:t xml:space="preserve">COL1A1 </w:t>
      </w:r>
      <w:r w:rsidRPr="00FE7BF6">
        <w:t>in midterm human fetuses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{"citationItems":[{"id":"ITEM-1","itemData":{"DOI":"10.4081/ejh.2013.e39","ISSN":"1121760X","PMID":"24441192","abstract":"Immunohistochemical localization of collagen types I, II, and X, aggrecan, versican, dentin matrix protein (DMP)-1, martix extracellular phosphoprotein (MEPE) were performed for Meckel's cartilage, cranial base cartilage, and mandibular condylar cartilage in human midterm fetuses; staining patterns within the condylar cartilage were compared to those within other cartilaginous structures. Mandibular condylar cartilage contained aggrecan; it also had more type I collagen and a thicker hypertrophic cell layer than the other two types of cartilage; these three characteristics are similar to those of the secondary cartilage of rodents. MEPE immunoreactivity was first evident in the cartilage matrix of all types of cartilage in the human fetuses and in Meckel's cartilage of mice and rats. MEPE immunoreactivity was enhanced in the deep layer of the hypertrophic cell layer and in the cartilaginous core of the bone trabeculae in the primary spongiosa. These results indicated that MEPE is a component of cartilage matrix and may be involved in cartilage mineralization. DMP-1 immunoreactivity first became evident in human bone lacunae walls and canaliculi; this pattern of expression was comparable to the pattern seen in rodents. In addition, chondroid bone was evident in the mandibular (glenoid) fossa of the temporal bone, and it had aggrecan, collagen types I and X, MEPE, and DMP-1 immunoreactivity; these findings indicated that chondroid bone in this region has phenotypic expression indicative of both hypertrophic chondrocytes and osteocytes. © S. Shibata et al., 2013 Licensee PAGEPress, Italy.","author":[{"dropping-particle":"","family":"Shibata","given":"Shunichi","non-dropping-particle":"","parse-names":false,"suffix":""},{"dropping-particle":"","family":"Sakamoto","given":"Y.","non-dropping-particle":"","parse-names":false,"suffix":""},{"dropping-particle":"","family":"Baba","given":"O.","non-dropping-particle":"","parse-names":false,"suffix":""},{"dropping-particle":"","family":"Qin","given":"C.","non-dropping-particle":"","parse-names":false,"suffix":""},{"dropping-particle":"","family":"Murakami","given":"G.","non-dropping-particle":"","parse-names":false,"suffix":""},{"dropping-particle":"","family":"Cho","given":"B. H.","non-dropping-particle":"","parse-names":false,"suffix":""}],"container-title":"European Journal of Histochemistry","id":"ITEM-1","issue":"4","issued":{"date-parts":[["2013"]]},"page":"262-270","title":"An immunohistochemical study of matrix proteins in the craniofacial cartilage in midterm human fetuses","type":"article-journal","volume":"57"},"uris":["http://www.mendeley.com/documents/?uuid=0cb7e21d-6268-4640-8d36-c9c96863dd47"]}],"mendeley":{"formattedCitation":"&lt;sup&gt;28&lt;/sup&gt;","plainTextFormattedCitation":"28","previouslyFormattedCitation":"&lt;sup&gt;24&lt;/sup&gt;"},"properties":{"noteIndex":0},"schema":"https://github.com/citation-style-language/schema/raw/master/csl-citation.json"}</w:instrText>
      </w:r>
      <w:r w:rsidRPr="00FE7BF6">
        <w:rPr>
          <w:vertAlign w:val="superscript"/>
        </w:rPr>
        <w:fldChar w:fldCharType="separate"/>
      </w:r>
      <w:r w:rsidR="00EC7BA8" w:rsidRPr="00FE7BF6">
        <w:rPr>
          <w:bCs/>
          <w:vertAlign w:val="superscript"/>
        </w:rPr>
        <w:t>28</w:t>
      </w:r>
      <w:r w:rsidRPr="00FE7BF6">
        <w:fldChar w:fldCharType="end"/>
      </w:r>
      <w:r w:rsidRPr="00FE7BF6">
        <w:rPr>
          <w:vertAlign w:val="superscript"/>
        </w:rPr>
        <w:t>)</w:t>
      </w:r>
      <w:r w:rsidR="007C30F0" w:rsidRPr="00FE7BF6">
        <w:rPr>
          <w:vertAlign w:val="superscript"/>
        </w:rPr>
        <w:t xml:space="preserve">. </w:t>
      </w:r>
      <w:r w:rsidRPr="00FE7BF6">
        <w:t xml:space="preserve">Notably, </w:t>
      </w:r>
      <w:r w:rsidRPr="00FE7BF6">
        <w:rPr>
          <w:i/>
          <w:iCs/>
        </w:rPr>
        <w:t>COL1A1</w:t>
      </w:r>
      <w:r w:rsidRPr="00FE7BF6">
        <w:t xml:space="preserve"> was linked to both class II and class III malocclusions, </w:t>
      </w:r>
      <w:proofErr w:type="spellStart"/>
      <w:r w:rsidRPr="00FE7BF6">
        <w:t>implaying</w:t>
      </w:r>
      <w:proofErr w:type="spellEnd"/>
      <w:r w:rsidRPr="00FE7BF6">
        <w:t xml:space="preserve"> that this gene is important for influencing craniofacial development, particularly in the sagittal dimension. One theory is that the </w:t>
      </w:r>
      <w:r w:rsidRPr="00FE7BF6">
        <w:rPr>
          <w:i/>
          <w:iCs/>
        </w:rPr>
        <w:t>COL1A1</w:t>
      </w:r>
      <w:r w:rsidRPr="00FE7BF6">
        <w:t xml:space="preserve"> gene has various SNPs that may cause one class of malocclusion to have a more effective isoform or higher expression, while the other class has a more inactive isoform or lower expression</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{"citationItems":[{"id":"ITEM-1","itemData":{"DOI":"10.1177/0022034515581643","ISSN":"15440591","PMID":"25910506","abstract":"This study evaluated associations between craniofacial candidate genes and skeletal variation in patients with malocclusion. Lateral cephalometric radiographs of 269 untreated adults with skeletal classes I, II, and III malocclusion were digitized with 14 landmarks. Twodimensional coordinates were analyzed using Procrustes fit and principal component (PC) analysis to generate continuous malocclusion phenotypes. Skeletal class classifications (I, II, or III) were used as a categorical phenotype. Individuals were genotyped for 198 singlenucleotide polymorphisms (SNPs) in 71 craniofacial genes and loci. Phenotype-genotype associations were tested via multivariate linear regression for continuous phenotypes and multinomial logistic regression for skeletal malocclusion class. PC analysis resulted in 4 principal components (PCs) explaining 69% of the total skeletal facial variation. PC1 explained 32.7% of the variation and depicted vertical discrepancies ranging from skeletal deep to open bites. PC1 was associated with a SNP near PAX5 (P = 0.01). PC2 explained 21.7% and captured horizontal maxillomandibular discrepancies. PC2 was associated with SNPs upstream of SNAI3 (P = 0.0002) and MYO1H (P = 0.006). PC3 explained 8.2% and captured variation in ramus height, body length, and anterior cranial base orientation. PC3 was associated with TWIST1 (P = 0.000076). Finally, PC4 explained 6.6% and detected variation in condylar inclination as well as symphysis projection. PC4 was associated with PAX7 (P = 0.007). Furthermore, skeletal class II risk increased relative to class I with the minor alleles of SNPs in FGFR2 (odds ratio [OR] = 2.1, P = 0.004) and declined with SNPs in EDN1 (OR = 0.5, P = 0.007). Conversely, skeletal class III risk increased versus class I with SNPs in FGFR2 (OR 2.2, P = 0.005) and COL1A1 (OR = 2.1, P = 0.008) and declined with SNPs in TBX5 (OR = 0.5, P = 0.014). PAX5, SNAI3, MYO1H, TWIST1, and PAX7 are associated with craniofacial skeletal variation among patients with malocclusion, while FGFR2, EDN1, TBX5, and COL1A1 are associated with type of skeletal malocclusion.","author":[{"dropping-particle":"","family":"Fontoura","given":"C. S.G.","non-dropping-particle":"Da","parse-names":false,"suffix":""},{"dropping-particle":"","family":"Miller","given":"S. F.","non-dropping-particle":"","parse-names":false,"suffix":""},{"dropping-particle":"","family":"Wehby","given":"G. L.","non-dropping-particle":"","parse-names":false,"suffix":""},{"dropping-particle":"","family":"Amendt","given":"B. A.","non-dropping-particle":"","parse-names":false,"suffix":""},{"dropping-particle":"","family":"Holton","given":"N. E.","non-dropping-particle":"","parse-names":false,"suffix":""},{"dropping-particle":"","family":"Southard","given":"T. E.","non-dropping-particle":"","parse-names":false,"suffix":""},{"dropping-particle":"","family":"Allareddy","given":"V.","non-dropping-particle":"","parse-names":false,"suffix":""},{"dropping-particle":"","family":"Moreno Uribe","given":"L. M.","non-dropping-particle":"","parse-names":false,"suffix":""}],"container-title":"Journal of Dental Research","id":"ITEM-1","issue":"7","issued":{"date-parts":[["2015"]]},"page":"913-920","title":"Candidate gene analyses of skeletal variation in malocclusion","type":"article-journal","volume":"94"},"uris":["http://www.mendeley.com/documents/?uuid=f4ff787f-d718-4d82-be38-508052e3c541"]}],"mendeley":{"formattedCitation":"&lt;sup&gt;22&lt;/sup&gt;","plainTextFormattedCitation":"22","previouslyFormattedCitation":"&lt;sup&gt;18&lt;/sup&gt;"},"properties":{"noteIndex":0},"schema":"https://github.com/citation-style-language/schema/raw/master/csl-citation.json"}</w:instrText>
      </w:r>
      <w:r w:rsidRPr="00FE7BF6">
        <w:rPr>
          <w:vertAlign w:val="superscript"/>
        </w:rPr>
        <w:fldChar w:fldCharType="separate"/>
      </w:r>
      <w:r w:rsidR="00EC7BA8" w:rsidRPr="00FE7BF6">
        <w:rPr>
          <w:vertAlign w:val="superscript"/>
        </w:rPr>
        <w:t>22</w:t>
      </w:r>
      <w:r w:rsidRPr="00FE7BF6">
        <w:fldChar w:fldCharType="end"/>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{"citationItems":[{"id":"ITEM-1","itemData":{"DOI":"10.1055/s-0042-1744371","ISSN":"13057464","abstract":"Objective The aim of this article is to analyze and compare the presence of single-nucleotide polymorphisms (SNPs) of COL1A1 and FGFR2 in class II and class III Javanese populations. Materials and Methods Cephalometric radiographs from total 63 patients of class II and III were analyzed. SNP analysis was performed based on both COL1A1 and FGFR2 sequences amplified from total DNA of patients' fresh blood. Principal component analysis was done to calculate the data and find the correlation of the cephalometric indicators influenced by each mutation. t -test and Mann-Whitney analysis were performed to check the significance of differences occurred in each studied parameter (p &lt; 0.05). Result There were three COL1A1 SNPs found in class II and only two in class III, while three FGFR2 SNPs found in both classes. Class II phenotype seemed to be strongly influenced by Y-axis and mandibular plane angle, while class III by lower gonial angle and mandibular plane angle. Conclusion Based on this study, we suggest that rs2249492 of COL1A1 and rs2981582 of FGFR2 play important roles in class III, while rs2277632 of COL1A1 and rs2981582 of FGFR2 play important role in class II skeletal malocclusion in Javanese population.","author":[{"dropping-particle":"","family":"Ardani","given":"I. Gusti Aju Wahju","non-dropping-particle":"","parse-names":false,"suffix":""},{"dropping-particle":"","family":"Budipramana","given":"Melisa","non-dropping-particle":"","parse-names":false,"suffix":""},{"dropping-particle":"","family":"Rachmawati","given":"Erlina","non-dropping-particle":"","parse-names":false,"suffix":""},{"dropping-particle":"","family":"Nugraha","given":"Alexander Patera","non-dropping-particle":"","parse-names":false,"suffix":""},{"dropping-particle":"","family":"Ardana","given":"I. Kade Karisma Gita","non-dropping-particle":"","parse-names":false,"suffix":""},{"dropping-particle":"","family":"Budhy","given":"Theresia Indah","non-dropping-particle":"","parse-names":false,"suffix":""},{"dropping-particle":"","family":"Hassan","given":"Rozita","non-dropping-particle":"","parse-names":false,"suffix":""},{"dropping-particle":"","family":"Listyorini","given":"Dwi","non-dropping-particle":"","parse-names":false,"suffix":""},{"dropping-particle":"","family":"Sarno","given":"Riyanarto","non-dropping-particle":"","parse-names":false,"suffix":""}],"container-title":"European Journal of Dentistry","id":"ITEM-1","issue":"1","issued":{"date-parts":[["2022"]]},"page":"183-190","title":"COL1A1 and FGFR2 Single-Nucleotide Polymorphisms Found in Class II and Class III Skeletal Malocclusions in Javanese Population","type":"article-journal","volume":"17"},"uris":["http://www.mendeley.com/documents/?uuid=6f8828ed-2769-44ae-aa9d-321d2a51cf25"]}],"mendeley":{"formattedCitation":"&lt;sup&gt;23&lt;/sup&gt;","plainTextFormattedCitation":"23","previouslyFormattedCitation":"&lt;sup&gt;19&lt;/sup&gt;"},"properties":{"noteIndex":0},"schema":"https://github.com/citation-style-language/schema/raw/master/csl-citation.json"}</w:instrText>
      </w:r>
      <w:r w:rsidRPr="00FE7BF6">
        <w:rPr>
          <w:vertAlign w:val="superscript"/>
        </w:rPr>
        <w:fldChar w:fldCharType="separate"/>
      </w:r>
      <w:r w:rsidR="00EC7BA8" w:rsidRPr="00FE7BF6">
        <w:rPr>
          <w:vertAlign w:val="superscript"/>
        </w:rPr>
        <w:t>23</w:t>
      </w:r>
      <w:r w:rsidRPr="00FE7BF6">
        <w:fldChar w:fldCharType="end"/>
      </w:r>
      <w:r w:rsidRPr="00FE7BF6">
        <w:rPr>
          <w:vertAlign w:val="superscript"/>
        </w:rPr>
        <w:t>)</w:t>
      </w:r>
      <w:r w:rsidR="007C30F0" w:rsidRPr="00FE7BF6">
        <w:t xml:space="preserve">. </w:t>
      </w:r>
      <w:r w:rsidRPr="00FE7BF6">
        <w:t xml:space="preserve">Our results show that Class III malocclusion and </w:t>
      </w:r>
      <w:r w:rsidRPr="00FE7BF6">
        <w:rPr>
          <w:i/>
          <w:iCs/>
        </w:rPr>
        <w:t>COL1A1</w:t>
      </w:r>
      <w:r w:rsidRPr="00FE7BF6">
        <w:t xml:space="preserve"> are unrelated</w:t>
      </w:r>
      <w:r w:rsidR="008D7506" w:rsidRPr="00FE7BF6">
        <w:t xml:space="preserve"> because the analysis of </w:t>
      </w:r>
      <w:r w:rsidR="008D7506" w:rsidRPr="00FE7BF6">
        <w:rPr>
          <w:i/>
        </w:rPr>
        <w:t>COL1A1</w:t>
      </w:r>
      <w:r w:rsidR="008D7506" w:rsidRPr="00FE7BF6">
        <w:rPr>
          <w:iCs/>
        </w:rPr>
        <w:t xml:space="preserve"> </w:t>
      </w:r>
      <w:r w:rsidR="008D7506" w:rsidRPr="00FE7BF6">
        <w:t>gene using Sanger sequencing showed</w:t>
      </w:r>
      <w:r w:rsidR="008D7506" w:rsidRPr="00FE7BF6">
        <w:rPr>
          <w:iCs/>
        </w:rPr>
        <w:t xml:space="preserve"> one polymorphism in</w:t>
      </w:r>
      <w:r w:rsidR="008D7506" w:rsidRPr="00FE7BF6">
        <w:t xml:space="preserve"> Class I group only</w:t>
      </w:r>
      <w:r w:rsidRPr="00FE7BF6">
        <w:t>.</w:t>
      </w:r>
      <w:r w:rsidRPr="00FE7BF6">
        <w:rPr>
          <w:b/>
          <w:bCs/>
        </w:rPr>
        <w:t xml:space="preserve">      </w:t>
      </w:r>
    </w:p>
    <w:p w14:paraId="01DF7B10" w14:textId="37799939" w:rsidR="00CC3469" w:rsidRPr="00FE7BF6" w:rsidRDefault="00CC3469" w:rsidP="008D7506">
      <w:pPr>
        <w:pStyle w:val="Body"/>
        <w:spacing w:before="240" w:after="60" w:line="240" w:lineRule="atLeast"/>
        <w:ind w:right="476" w:firstLine="0"/>
        <w:rPr>
          <w:b/>
          <w:bCs/>
        </w:rPr>
      </w:pPr>
      <w:r w:rsidRPr="00FE7BF6">
        <w:t xml:space="preserve">At 3q26, there is a gene named </w:t>
      </w:r>
      <w:r w:rsidRPr="00FE7BF6">
        <w:rPr>
          <w:i/>
          <w:iCs/>
        </w:rPr>
        <w:t>SOX2</w:t>
      </w:r>
      <w:r w:rsidRPr="00FE7BF6">
        <w:t xml:space="preserve"> that is highly conserved</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{"citationItems":[{"id":"ITEM-1","itemData":{"DOI":"10.1371/journal.pone.0045768","ISBN":"0000007463","ISSN":"19326203","PMID":"23029233","abstract":"Background: The Conditional by Inversion (COIN) method for engineering conditional alleles relies on an invertible optimized gene trap-like element, the COIN module, for imparting conditionality. The COIN module contains an optimized 3′ splice site-polyadenylation signal pair, but is inserted antisense to the target gene and therefore does not alter transcription, until it is inverted by Cre recombinase. In order to make COIN applicable to all protein-coding genes, the COIN module has been engineered within an artificial intron, enabling insertion into an exon. Methodology/Principal Findings: Therefore, theoretically, the COIN method should be applicable to single exon genes, and to test this idea we engineered a COIN allele of Sox2. This single exon gene presents additional design challenges, in that its proximal promoter and coding region are entirely contained within a CpG island, and are also spanned by an overlapping transcript, Sox2Ot, which contains mmu-miR1897. Here, we show that despite disruption of the CpG island by the COIN module intron, the COIN allele of Sox2 (Sox2COIN) is phenotypically wild type, and also does not interfere with expression of Sox2Ot and miR1897. Furthermore, the inverted COIN allele of Sox2, Sox2INV is functionally null, as homozygotes recapitulate the phenotype of Sox2ßgeo/ßgeo mice, a well-characterized Sox2 null. Lastly, the benefit of the eGFP marker embedded in the COIN allele is demonstrated as it mirrors the expression pattern of Sox2. Conclusions/Significance: Our results demonstrate the applicability of the COIN technology as a method of choice for targeting single exon genes. © 2012 Mandalos et al.","author":[{"dropping-particle":"","family":"Mandalos","given":"Nikolaos","non-dropping-particle":"","parse-names":false,"suffix":""},{"dropping-particle":"","family":"Saridaki","given":"Marannia","non-dropping-particle":"","parse-names":false,"suffix":""},{"dropping-particle":"","family":"Harper","given":"Jessica Lea","non-dropping-particle":"","parse-names":false,"suffix":""},{"dropping-particle":"","family":"Kotsoni","given":"Anastasia","non-dropping-particle":"","parse-names":false,"suffix":""},{"dropping-particle":"","family":"Yang","given":"Peter","non-dropping-particle":"","parse-names":false,"suffix":""},{"dropping-particle":"","family":"Economides","given":"Aris N.","non-dropping-particle":"","parse-names":false,"suffix":""},{"dropping-particle":"","family":"Remboutsika","given":"Eumorphia","non-dropping-particle":"","parse-names":false,"suffix":""}],"container-title":"PLoS ONE","id":"ITEM-1","issue":"9","issued":{"date-parts":[["2012"]]},"page":"1-9","title":"Application of a Novel Strategy of Engineering Conditional Alleles to a Single Exon Gene, Sox2","type":"article-journal","volume":"7"},"uris":["http://www.mendeley.com/documents/?uuid=bebd9583-6bc3-40bc-9520-64c770cd995b"]}],"mendeley":{"formattedCitation":"&lt;sup&gt;29&lt;/sup&gt;","plainTextFormattedCitation":"29","previouslyFormattedCitation":"&lt;sup&gt;25&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29</w:t>
      </w:r>
      <w:r w:rsidRPr="00FE7BF6">
        <w:fldChar w:fldCharType="end"/>
      </w:r>
      <w:r w:rsidRPr="00FE7BF6">
        <w:rPr>
          <w:vertAlign w:val="superscript"/>
        </w:rPr>
        <w:t>)</w:t>
      </w:r>
      <w:r w:rsidRPr="00FE7BF6">
        <w:t xml:space="preserve"> A number of craniofacial abnormalities, including cleft palate and ocular malformations, have been linked to SOX2, which is crucial in sustaining </w:t>
      </w:r>
      <w:r w:rsidRPr="00FE7BF6">
        <w:lastRenderedPageBreak/>
        <w:t>stem cell pluripotency and neurogenesis</w:t>
      </w:r>
      <w:r w:rsidR="007C30F0" w:rsidRPr="00FE7BF6">
        <w:rPr>
          <w:b/>
          <w:bCs/>
        </w:rPr>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{"citationItems":[{"id":"ITEM-1","itemData":{"DOI":"10.1597/12-260","ISSN":"10556656","PMID":"23638914","abstract":"Objective: While SEX-determining region Y-Box 2 (SOX2) mutations are typically recognized as yielding ocular and central nervous system abnormalities, they have also been associated with other craniofacial defects. To elucidate the genesis of the latter, Sox2 hypomorphic (Sox2HYP) mice were examined, with particular attention to secondary palatal development. Results: Clefts of the secondary palate were found to be highly penetrant in Sox2HYP mice. The palatal clefting occurred in the absence of mandibular hypoplasia and resulted from delayed or failed shelf elevation. Conclusions: Sox2 hypomorphism can result in clefting of the secondary palate, an effect that appears to be independent of mandibular hypoplasia and is thus expected to result from an abnormality that is inherent to the palatal shelves and/or their progenitor tissues. Further clinical attention relative to SOX2 mutations as a basis for secondary palatal clefts appears warranted. © Copyright 2014 American Cleft Palate-Craniofacial Association.","author":[{"dropping-particle":"","family":"Langer","given":"Lee","non-dropping-particle":"","parse-names":false,"suffix":""},{"dropping-particle":"","family":"Sulik","given":"Kathleen","non-dropping-particle":"","parse-names":false,"suffix":""},{"dropping-particle":"","family":"Pevny","given":"Larysa","non-dropping-particle":"","parse-names":false,"suffix":""}],"container-title":"Cleft Palate-Craniofacial Journal","id":"ITEM-1","issue":"1","issued":{"date-parts":[["2014"]]},"page":"110-114","title":"Cleft palate in a mouse model of SOX2 haploinsufficiency","type":"article-journal","volume":"51"},"uris":["http://www.mendeley.com/documents/?uuid=147a4fe4-3292-43bc-854b-a9562f14a3fe"]}],"mendeley":{"formattedCitation":"&lt;sup&gt;30&lt;/sup&gt;","plainTextFormattedCitation":"30","previouslyFormattedCitation":"&lt;sup&gt;26&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30</w:t>
      </w:r>
      <w:r w:rsidRPr="00FE7BF6">
        <w:fldChar w:fldCharType="end"/>
      </w:r>
      <w:r w:rsidRPr="00FE7BF6">
        <w:rPr>
          <w:vertAlign w:val="superscript"/>
        </w:rPr>
        <w:t>)</w:t>
      </w:r>
      <w:r w:rsidR="007C30F0" w:rsidRPr="00FE7BF6">
        <w:rPr>
          <w:b/>
          <w:bCs/>
        </w:rPr>
        <w:t xml:space="preserve">. </w:t>
      </w:r>
      <w:r w:rsidRPr="00FE7BF6">
        <w:t>Growth retardation, sensorineural hearing loss, mental retardation, and cleft palates are among the many of the extra-ocular symptoms that</w:t>
      </w:r>
      <w:r w:rsidRPr="00FE7BF6">
        <w:rPr>
          <w:i/>
          <w:iCs/>
        </w:rPr>
        <w:t xml:space="preserve"> SOX2 </w:t>
      </w:r>
      <w:r w:rsidRPr="00FE7BF6">
        <w:t>mutations have been linked to in a growing number of studies, this suggests that the craniofacial complex is directly affected</w:t>
      </w:r>
      <w:r w:rsidR="007C30F0" w:rsidRPr="00FE7BF6">
        <w:rPr>
          <w:b/>
          <w:bCs/>
        </w:rPr>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{"citationItems":[{"id":"ITEM-1","itemData":{"DOI":"10.1597/12-260","ISSN":"10556656","PMID":"23638914","abstract":"Objective: While SEX-determining region Y-Box 2 (SOX2) mutations are typically recognized as yielding ocular and central nervous system abnormalities, they have also been associated with other craniofacial defects. To elucidate the genesis of the latter, Sox2 hypomorphic (Sox2HYP) mice were examined, with particular attention to secondary palatal development. Results: Clefts of the secondary palate were found to be highly penetrant in Sox2HYP mice. The palatal clefting occurred in the absence of mandibular hypoplasia and resulted from delayed or failed shelf elevation. Conclusions: Sox2 hypomorphism can result in clefting of the secondary palate, an effect that appears to be independent of mandibular hypoplasia and is thus expected to result from an abnormality that is inherent to the palatal shelves and/or their progenitor tissues. Further clinical attention relative to SOX2 mutations as a basis for secondary palatal clefts appears warranted. © Copyright 2014 American Cleft Palate-Craniofacial Association.","author":[{"dropping-particle":"","family":"Langer","given":"Lee","non-dropping-particle":"","parse-names":false,"suffix":""},{"dropping-particle":"","family":"Sulik","given":"Kathleen","non-dropping-particle":"","parse-names":false,"suffix":""},{"dropping-particle":"","family":"Pevny","given":"Larysa","non-dropping-particle":"","parse-names":false,"suffix":""}],"container-title":"Cleft Palate-Craniofacial Journal","id":"ITEM-1","issue":"1","issued":{"date-parts":[["2014"]]},"page":"110-114","title":"Cleft palate in a mouse model of SOX2 haploinsufficiency","type":"article-journal","volume":"51"},"uris":["http://www.mendeley.com/documents/?uuid=147a4fe4-3292-43bc-854b-a9562f14a3fe"]}],"mendeley":{"formattedCitation":"&lt;sup&gt;30&lt;/sup&gt;","plainTextFormattedCitation":"30","previouslyFormattedCitation":"&lt;sup&gt;26&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30</w:t>
      </w:r>
      <w:r w:rsidRPr="00FE7BF6">
        <w:fldChar w:fldCharType="end"/>
      </w:r>
      <w:r w:rsidRPr="00FE7BF6">
        <w:rPr>
          <w:vertAlign w:val="superscript"/>
        </w:rPr>
        <w:t>)</w:t>
      </w:r>
      <w:r w:rsidR="007C30F0" w:rsidRPr="00FE7BF6">
        <w:rPr>
          <w:b/>
          <w:bCs/>
        </w:rPr>
        <w:t xml:space="preserve">. </w:t>
      </w:r>
      <w:r w:rsidR="008D7506" w:rsidRPr="00FE7BF6">
        <w:t>According to Weaver research</w:t>
      </w:r>
      <w:r w:rsidR="00DB6629" w:rsidRPr="00FE7BF6">
        <w:t>,</w:t>
      </w:r>
      <w:r w:rsidR="008D7506" w:rsidRPr="00FE7BF6">
        <w:t xml:space="preserve"> t</w:t>
      </w:r>
      <w:r w:rsidRPr="00FE7BF6">
        <w:t xml:space="preserve">he </w:t>
      </w:r>
      <w:r w:rsidRPr="00FE7BF6">
        <w:rPr>
          <w:i/>
          <w:iCs/>
        </w:rPr>
        <w:t>SOX2</w:t>
      </w:r>
      <w:r w:rsidRPr="00FE7BF6">
        <w:t xml:space="preserve"> (rs4434184) mutation increases the risk of a Class III phenotype</w:t>
      </w:r>
      <w:r w:rsidR="008D7506" w:rsidRPr="00FE7BF6">
        <w:t xml:space="preserve"> by 2.15 to 1.7 times</w:t>
      </w:r>
      <w:r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11&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13</w:t>
      </w:r>
      <w:r w:rsidRPr="00FE7BF6">
        <w:fldChar w:fldCharType="end"/>
      </w:r>
      <w:r w:rsidRPr="00FE7BF6">
        <w:rPr>
          <w:vertAlign w:val="superscript"/>
        </w:rPr>
        <w:t>)</w:t>
      </w:r>
      <w:r w:rsidR="007C30F0" w:rsidRPr="00FE7BF6">
        <w:t xml:space="preserve">, </w:t>
      </w:r>
      <w:r w:rsidRPr="00FE7BF6">
        <w:t xml:space="preserve">also our results show that </w:t>
      </w:r>
      <w:r w:rsidRPr="00FE7BF6">
        <w:rPr>
          <w:i/>
          <w:iCs/>
        </w:rPr>
        <w:t>SOX2</w:t>
      </w:r>
      <w:r w:rsidRPr="00FE7BF6">
        <w:t xml:space="preserve"> rs4434184 is associated with class III skeletal malocclusion.</w:t>
      </w:r>
    </w:p>
    <w:p w14:paraId="7580C896" w14:textId="3F635B7D" w:rsidR="00CC3469" w:rsidRPr="00FE7BF6" w:rsidRDefault="00CC3469" w:rsidP="008D7506">
      <w:pPr>
        <w:pStyle w:val="Body"/>
        <w:spacing w:before="240" w:after="60" w:line="240" w:lineRule="atLeast"/>
        <w:ind w:right="476" w:firstLine="0"/>
      </w:pPr>
      <w:r w:rsidRPr="00FE7BF6">
        <w:t xml:space="preserve">Furthermore, this study explores the correlation between the </w:t>
      </w:r>
      <w:r w:rsidRPr="00FE7BF6">
        <w:rPr>
          <w:i/>
          <w:iCs/>
        </w:rPr>
        <w:t>FGFR1</w:t>
      </w:r>
      <w:r w:rsidRPr="00FE7BF6">
        <w:t xml:space="preserve"> gene and Class III malocclusion, considering its role in postnatal growth, both normal and aberrant. The fibroblast growth factor/fibroblast growth factor receptor (</w:t>
      </w:r>
      <w:r w:rsidRPr="00FE7BF6">
        <w:rPr>
          <w:i/>
          <w:iCs/>
        </w:rPr>
        <w:t>FGF/FGFR</w:t>
      </w:r>
      <w:r w:rsidRPr="00FE7BF6">
        <w:t>) is a tyrosine kinase signaling pathway that has a fundamental role in many biologic processes including embryonic development, tissue regeneration, and angiogenesis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{"citationItems":[{"id":"ITEM-1","itemData":{"DOI":"10.18632/oncotarget.14109","ISSN":"19492553","abstract":"The fibroblast growth factor/fibroblast growth factor receptor (FGF/FGFR) is a tyrosine kinase signaling pathway that has a fundamental role in many biologic processes including embryonic development, tissue regeneration, and angiogenesis. Increasing evidence indicates that this pathway plays a critical role in oncogenesis via gene amplification, activating mutations, or translocation in tumors of various histologies. With multiplex sequencing technology, the detection of FGFR aberrations has become more common and is tied to cancer cell proliferation, resistance to anticancer therapies, and neoangiogenesis. Inhibition of FGFR signaling appears promising in preclinical studies, suggesting a pathway of clinical interest in the development of targeted therapy. Phase I trials have demonstrated a manageable toxicity profile. Currently, there are multiple FGFR inhibitors under study with many non-selective (multi-kinase) inhibitors demonstrating limited clinical responses. As we progress from the first generation of non-selective drugs to the second generation of selective FGFR inhibitors, it is clear that FGFR aberrations do not behave uniformly across cancer types; thus, a deeper understanding of biomarker strategies is undoubtedly warranted. This review aims to consolidate data from recent clinical trials with a focus on selective FGFR inhibitors. As Phase II clinical trials emerge, concentration on patient selection as it pertains to predicting response to therapy, feasible methods for overcoming toxicity, and the likelihood of combination therapies should be utilized. We will also discuss qualities that may be desirable in future generations of FGFR inhibitors, with the hope that overcoming these current barriers will expedite the availability of this novel class of medications.","author":[{"dropping-particle":"","family":"Chae","given":"Young Kwang","non-dropping-particle":"","parse-names":false,"suffix":""},{"dropping-particle":"","family":"Ranganath","given":"Keerthi","non-dropping-particle":"","parse-names":false,"suffix":""},{"dropping-particle":"","family":"Hammerman","given":"Peter S.","non-dropping-particle":"","parse-names":false,"suffix":""},{"dropping-particle":"","family":"Vaklavas","given":"Christos","non-dropping-particle":"","parse-names":false,"suffix":""},{"dropping-particle":"","family":"Mohindra","given":"Nisha","non-dropping-particle":"","parse-names":false,"suffix":""},{"dropping-particle":"","family":"Kalyan","given":"Aparna","non-dropping-particle":"","parse-names":false,"suffix":""},{"dropping-particle":"","family":"Matsangou","given":"Maria","non-dropping-particle":"","parse-names":false,"suffix":""},{"dropping-particle":"","family":"Costa","given":"Ricardo","non-dropping-particle":"","parse-names":false,"suffix":""},{"dropping-particle":"","family":"Carneiro","given":"Benedito","non-dropping-particle":"","parse-names":false,"suffix":""},{"dropping-particle":"","family":"Villaflor","given":"Victoria M.","non-dropping-particle":"","parse-names":false,"suffix":""},{"dropping-particle":"","family":"Cristofanilli","given":"Massimo","non-dropping-particle":"","parse-names":false,"suffix":""},{"dropping-particle":"","family":"Giles","given":"Francis J.","non-dropping-particle":"","parse-names":false,"suffix":""}],"container-title":"Oncotarget","id":"ITEM-1","issue":"9","issued":{"date-parts":[["2017"]]},"page":"16052-16074","title":"Inhibition of the fibroblast growth factor receptor (FGFR) pathway: The current landscape and barriers to clinical application","type":"article-journal","volume":"8"},"uris":["http://www.mendeley.com/documents/?uuid=d4f08d38-a0c4-45ee-8c25-37d0bae23411"]}],"mendeley":{"formattedCitation":"&lt;sup&gt;31&lt;/sup&gt;","plainTextFormattedCitation":"31","previouslyFormattedCitation":"&lt;sup&gt;27&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31</w:t>
      </w:r>
      <w:r w:rsidRPr="00FE7BF6">
        <w:fldChar w:fldCharType="end"/>
      </w:r>
      <w:r w:rsidRPr="00FE7BF6">
        <w:rPr>
          <w:vertAlign w:val="superscript"/>
        </w:rPr>
        <w:t>)</w:t>
      </w:r>
      <w:r w:rsidR="007C30F0" w:rsidRPr="00FE7BF6">
        <w:t xml:space="preserve">. </w:t>
      </w:r>
      <w:r w:rsidRPr="00FE7BF6">
        <w:t xml:space="preserve">Numerous research have shown how genes linked to uncommon diseases may shed light on lone characteristics, and </w:t>
      </w:r>
      <w:r w:rsidRPr="00FE7BF6">
        <w:rPr>
          <w:i/>
          <w:iCs/>
        </w:rPr>
        <w:t>FGFs</w:t>
      </w:r>
      <w:r w:rsidRPr="00FE7BF6">
        <w:t xml:space="preserve"> and </w:t>
      </w:r>
      <w:r w:rsidRPr="00FE7BF6">
        <w:rPr>
          <w:i/>
          <w:iCs/>
        </w:rPr>
        <w:t xml:space="preserve">FGFRs </w:t>
      </w:r>
      <w:r w:rsidRPr="00FE7BF6">
        <w:t>may be involved in lone kinds of skeletal Class III malocclusion</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{"citationItems":[{"id":"ITEM-1","itemData":{"DOI":"10.1016/j.ajodo.2016.09.013","ISSN":"08895406","PMID":"28364893","abstract":"Introduction Our goal was to verify the association between candidate polymorphisms and skeletal Class III malocclusion in a well-characterized homogeneous sample set. Methods Thirty-five single-nucleotide polymorphisms were studied from 10 candidate loci in 54 Class III subjects and 120 controls. Skeletal Class III characteristics included ANB angle less than 0°, SNB angle greater than 83° (mandibular prognathism), SNA angle less than 79° (maxillary deficiency), Class III molar relationship, and negative overjet. Inclusion criteria for the controls were ANB angle between 0° and 4°, Class I molar relationship, and normal overjet. Chi-square and Fisher exact tests and principal component (PC) analysis were used to determine overrepresentation of marker alleles with alpha of 0.05. Odds ratios and 95% confidence intervals were calculated. Results MYO1H (rs10850110 A&lt;G) (P &lt;0.01; odds ratio, 7.44 [4.02-13.77]) was associated with an increased risk for the mandibular prognathism phenotype. These results were confirmed by PC analysis, which showed 4 PCs representing the sample variations (PC1, 37.24%; PC2, 20.02%; PC3, 12.18%; and PC4, 11.40%), and PC1 was associated with MYO1H (P &lt;0.001). We also found by PC analysis associations between MYO1H (P &lt;0.001) and GHR (rs2973015 A&gt;G) (P = 0.001) with PC2 and between FGF10 (rs593307 A&lt;G) (P = 0.001) with PC4. Conclusions Polymorphism in MYO1H could be used as a marker for genetic susceptibility to Class III malocclusion with mandibular prognathism, and polymorphisms in GHR and FGF were associated with maxillomandibular discrepancies. This study may contribute to improved diagnosis and further research assessing possible differences in treatment responses based on genetic polymorphisms.","author":[{"dropping-particle":"","family":"Cruz","given":"Christiane Vasconcellos","non-dropping-particle":"","parse-names":false,"suffix":""},{"dropping-particle":"","family":"Mattos","given":"Claudia Trindade","non-dropping-particle":"","parse-names":false,"suffix":""},{"dropping-particle":"","family":"Maia","given":"José Calasans","non-dropping-particle":"","parse-names":false,"suffix":""},{"dropping-particle":"","family":"Granjeiro","given":"José Mauro","non-dropping-particle":"","parse-names":false,"suffix":""},{"dropping-particle":"","family":"Reis","given":"Maria Fernanda","non-dropping-particle":"","parse-names":false,"suffix":""},{"dropping-particle":"","family":"Mucha","given":"José Nelson","non-dropping-particle":"","parse-names":false,"suffix":""},{"dropping-particle":"","family":"Vilella","given":"Beatriz","non-dropping-particle":"","parse-names":false,"suffix":""},{"dropping-particle":"","family":"Ruellas","given":"Antonio Carlos","non-dropping-particle":"","parse-names":false,"suffix":""},{"dropping-particle":"","family":"Luiz","given":"Ronir Raggio","non-dropping-particle":"","parse-names":false,"suffix":""},{"dropping-particle":"","family":"Costa","given":"Marcelo Castro","non-dropping-particle":"","parse-names":false,"suffix":""},{"dropping-particle":"","family":"Vieira","given":"Alexandre Rezende","non-dropping-particle":"","parse-names":false,"suffix":""}],"container-title":"American Journal of Orthodontics and Dentofacial Orthopedics","id":"ITEM-1","issue":"4","issued":{"date-parts":[["2017"]]},"page":"700-707","title":"Genetic polymorphisms underlying the skeletal Class III phenotype","type":"article-journal","volume":"151"},"uris":["http://www.mendeley.com/documents/?uuid=984c0891-4e22-49a4-8101-18c12efe15a7"]}],"mendeley":{"formattedCitation":"&lt;sup&gt;32&lt;/sup&gt;","plainTextFormattedCitation":"32","previouslyFormattedCitation":"&lt;sup&gt;28&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32</w:t>
      </w:r>
      <w:r w:rsidRPr="00FE7BF6">
        <w:fldChar w:fldCharType="end"/>
      </w:r>
      <w:r w:rsidRPr="00FE7BF6">
        <w:rPr>
          <w:vertAlign w:val="superscript"/>
        </w:rPr>
        <w:t>)</w:t>
      </w:r>
      <w:r w:rsidR="007C30F0" w:rsidRPr="00FE7BF6">
        <w:t xml:space="preserve">. </w:t>
      </w:r>
      <w:r w:rsidRPr="00FE7BF6">
        <w:t xml:space="preserve">When the skull and face are developing, </w:t>
      </w:r>
      <w:r w:rsidRPr="00FE7BF6">
        <w:rPr>
          <w:i/>
          <w:iCs/>
        </w:rPr>
        <w:t>FGFR1</w:t>
      </w:r>
      <w:r w:rsidRPr="00FE7BF6">
        <w:t xml:space="preserve"> has a substantial impact on the craniomaxillofacial bone, muscle, palate, teeth, and submandibular salivary gland</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{"citationItems":[{"id":"ITEM-1","itemData":{"DOI":"10.1111/j.1601-0825.2005.01176.x","ISSN":"1354523X","PMID":"16476029","abstract":"The Fgf signalling pathway is highly conserved in evolution and plays crucial roles in development. In the craniofacial region, it is involved in almost all structure development from early patterning to growth regulation. In craniofacial skeletogenesis, the Fgf signal pathway plays important roles in suture and synchondrosis regulation. Mutations of FGF receptors relate to syndromatic and non-syndromatic craniosynostosis. The Fgf10/Fgfr2b signal loop is critical for palatogenesis and submandibular gland formation. Perturbation of the Fgf signal is a possible mechanism of palatal cleft. Fgf10 haploinsufficiency has been identified as the cause of autosomal dominant aplasia of lacrimal and salivary glands. The Fgf signal is also a key regulator of tooth formation: in the absence of Fgfr2b tooth development is arrested at the bud stage. Fgfr4 has recently been identified as the key signal mediator in myogenesis. In this review, these aspects are discussed in detail with a focus on the most recent advances. © 2006 Blackwell Munksgaard. All rights reserved.","author":[{"dropping-particle":"","family":"Nie","given":"X.","non-dropping-particle":"","parse-names":false,"suffix":""},{"dropping-particle":"","family":"Luukko","given":"K.","non-dropping-particle":"","parse-names":false,"suffix":""},{"dropping-particle":"","family":"Kettunen","given":"P.","non-dropping-particle":"","parse-names":false,"suffix":""}],"container-title":"Oral Diseases","id":"ITEM-1","issue":"2","issued":{"date-parts":[["2006"]]},"page":"102-111","title":"FGF signalling in craniofacial development and developmental disorders","type":"article-journal","volume":"12"},"uris":["http://www.mendeley.com/documents/?uuid=9aaefdb0-db16-4849-b301-47b33293fd4c"]}],"mendeley":{"formattedCitation":"&lt;sup&gt;33&lt;/sup&gt;","plainTextFormattedCitation":"33","previouslyFormattedCitation":"&lt;sup&gt;29&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33</w:t>
      </w:r>
      <w:r w:rsidRPr="00FE7BF6">
        <w:fldChar w:fldCharType="end"/>
      </w:r>
      <w:r w:rsidRPr="00FE7BF6">
        <w:rPr>
          <w:vertAlign w:val="superscript"/>
        </w:rPr>
        <w:t>)</w:t>
      </w:r>
      <w:r w:rsidR="007C30F0" w:rsidRPr="00FE7BF6">
        <w:t xml:space="preserve">. </w:t>
      </w:r>
      <w:r w:rsidRPr="00FE7BF6">
        <w:t xml:space="preserve">In the current study, the rs881301 in </w:t>
      </w:r>
      <w:r w:rsidRPr="00FE7BF6">
        <w:rPr>
          <w:i/>
          <w:iCs/>
        </w:rPr>
        <w:t>FGFG1</w:t>
      </w:r>
      <w:r w:rsidRPr="00FE7BF6">
        <w:t xml:space="preserve"> was investigated, and it has been shown to be related to skeletal Class III malocclusion. Weaver additionally found the same SNP in American people who had Class III skeletal malocclusion and maxilla-mandibular deviations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{"citationItems":[{"id":"ITEM-1","itemData":{"ISBN":"9781321042061","abstract":"Objectives: About 2% of the US population suffers from severe malocclusion discrepancies that are beyond the limits of orthodontics alone. This study explores correlations between 3D malocclusion phenotypes and craniofacial development genes. Methods: CBCTs (124) or digital casts (161) of 285 subjects with skeletal Class I (n=60), II (n=143) and III (n=82) malocclusion were digitized with 48 dental landmarks. 3D coordinates were superimposed prior to Principal Component (PC) analyses to identify symmetric (sym) and asymmetric (asym) aspects of shape variation related to malocclusion. PCs explaining 51%-67% of total shape variation were regressed on 200 variants genotyped within 75 genes adjusting for race, gender, age and data source. Results: Significant correlations (p&lt;0.01) were found for sym variation with BMP3, PITX2, MAFB, SNAl3, FGF8, ABCA4-ARHGAP29, FOXL2 and asym variation PAX7, TBX1, LEFTY1, SATB2, SOX2, TP63 and the 400Kb region containing D1S435. Conclusion: Results suggest genetic pathways associated with malocclusion.","author":[{"dropping-particle":"","family":"Weaver","given":"Cole Austin","non-dropping-particle":"","parse-names":false,"suffix":""}],"id":"ITEM-1","issued":{"date-parts":[["2014"]]},"number-of-pages":"153","publisher":"University of Iowa","title":"Candidate gene analysis of 3D dental phenotypes in patients with malocclusion","type":"thesis"},"uris":["http://www.mendeley.com/documents/?uuid=02553ff3-c7ae-4b3a-b6e6-63d5ac334c98"]}],"mendeley":{"formattedCitation":"&lt;sup&gt;13&lt;/sup&gt;","plainTextFormattedCitation":"13","previouslyFormattedCitation":"&lt;sup&gt;11&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13</w:t>
      </w:r>
      <w:r w:rsidRPr="00FE7BF6">
        <w:fldChar w:fldCharType="end"/>
      </w:r>
      <w:r w:rsidRPr="00FE7BF6">
        <w:rPr>
          <w:vertAlign w:val="superscript"/>
        </w:rPr>
        <w:t>)</w:t>
      </w:r>
      <w:r w:rsidR="007C30F0" w:rsidRPr="00FE7BF6">
        <w:t>.</w:t>
      </w:r>
    </w:p>
    <w:p w14:paraId="689C100A" w14:textId="3C3FC2D6" w:rsidR="00CC3469" w:rsidRPr="00FE7BF6" w:rsidRDefault="00CC3469" w:rsidP="008D7506">
      <w:pPr>
        <w:pStyle w:val="Body"/>
        <w:spacing w:before="240" w:after="60" w:line="240" w:lineRule="atLeast"/>
        <w:ind w:right="476" w:firstLine="0"/>
      </w:pPr>
      <w:r w:rsidRPr="00FE7BF6">
        <w:t xml:space="preserve">A transcription factor known as </w:t>
      </w:r>
      <w:r w:rsidRPr="00FE7BF6">
        <w:rPr>
          <w:i/>
          <w:iCs/>
        </w:rPr>
        <w:t>MAFB</w:t>
      </w:r>
      <w:r w:rsidRPr="00FE7BF6">
        <w:t xml:space="preserve"> from the big </w:t>
      </w:r>
      <w:r w:rsidRPr="00FE7BF6">
        <w:rPr>
          <w:i/>
          <w:iCs/>
        </w:rPr>
        <w:t>MAF</w:t>
      </w:r>
      <w:r w:rsidRPr="00FE7BF6">
        <w:t xml:space="preserve"> subfamily </w:t>
      </w:r>
      <w:r w:rsidRPr="00FE7BF6">
        <w:rPr>
          <w:i/>
          <w:iCs/>
        </w:rPr>
        <w:t xml:space="preserve">( MAFA, </w:t>
      </w:r>
      <w:proofErr w:type="spellStart"/>
      <w:r w:rsidRPr="00FE7BF6">
        <w:rPr>
          <w:i/>
          <w:iCs/>
        </w:rPr>
        <w:t>cMAF</w:t>
      </w:r>
      <w:proofErr w:type="spellEnd"/>
      <w:r w:rsidRPr="00FE7BF6">
        <w:rPr>
          <w:i/>
          <w:iCs/>
        </w:rPr>
        <w:t xml:space="preserve">, MAFB, </w:t>
      </w:r>
      <w:r w:rsidRPr="00FE7BF6">
        <w:t xml:space="preserve">and </w:t>
      </w:r>
      <w:r w:rsidRPr="00FE7BF6">
        <w:rPr>
          <w:i/>
          <w:iCs/>
        </w:rPr>
        <w:t xml:space="preserve">NRL) </w:t>
      </w:r>
      <w:r w:rsidRPr="00FE7BF6">
        <w:t>binds to the MARE DNA element</w:t>
      </w:r>
      <w:r w:rsidR="007C30F0" w:rsidRPr="00FE7BF6">
        <w:rPr>
          <w:b/>
          <w:bCs/>
        </w:rPr>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{"citationItems":[{"id":"ITEM-1","itemData":{"DOI":"10.4049/jimmunol.1601667","ISBN":"0000000319805","ISSN":"0022-1767","PMID":"28093525","abstract":"Macrophage phenotypic and functional heterogeneity derives from tissue-specific transcriptional signatures shaped by the local microenvironment. Most studies addressing the molecular basis for macrophage heterogeneity have focused on murine cells, whereas the factors controlling the functional specialization of human macrophages are less known. M-CSF drives the generation of human monocyte-derived macrophages with a potent anti-inflammatory activity upon stimulation. We now report that knockdown of MAFB impairs the acquisition of the anti-inflammatory profile of human macrophages, identify the MAFB-dependent gene signature in human macrophages and illustrate the coexpression of MAFB and MAFB-target genes in CD163+ tissue-resident and tumor-associated macrophages. The contribution of MAFB to the homeostatic/anti-inflammatory macrophage profile is further supported by the skewed polarization of monocyte-derived macrophages from multicentric carpotarsal osteolysis (Online Mendelian Inheritance in Man #166300), a pathology caused by mutations in the MAFB gene. Our results demonstrate that MAFB critically determines the acquisition of the anti-inflammatory transcriptional and functional profiles of human macrophages.","author":[{"dropping-particle":"","family":"Cuevas","given":"Víctor D.","non-dropping-particle":"","parse-names":false,"suffix":""},{"dropping-particle":"","family":"Anta","given":"Laura","non-dropping-particle":"","parse-names":false,"suffix":""},{"dropping-particle":"","family":"Samaniego","given":"Rafael","non-dropping-particle":"","parse-names":false,"suffix":""},{"dropping-particle":"","family":"Orta-Zavalza","given":"Emmanuel","non-dropping-particle":"","parse-names":false,"suffix":""},{"dropping-particle":"","family":"Vladimir de la Rosa","given":"Juan","non-dropping-particle":"","parse-names":false,"suffix":""},{"dropping-particle":"","family":"Baujat","given":"Geneviève","non-dropping-particle":"","parse-names":false,"suffix":""},{"dropping-particle":"","family":"Domínguez-Soto","given":"Ángeles","non-dropping-particle":"","parse-names":false,"suffix":""},{"dropping-particle":"","family":"Sánchez-Mateos","given":"Paloma","non-dropping-particle":"","parse-names":false,"suffix":""},{"dropping-particle":"","family":"Escribese","given":"María M.","non-dropping-particle":"","parse-names":false,"suffix":""},{"dropping-particle":"","family":"Castrillo","given":"Antonio","non-dropping-particle":"","parse-names":false,"suffix":""},{"dropping-particle":"","family":"Cormier-Daire","given":"Valérie","non-dropping-particle":"","parse-names":false,"suffix":""},{"dropping-particle":"","family":"Vega","given":"Miguel A.","non-dropping-particle":"","parse-names":false,"suffix":""},{"dropping-particle":"","family":"Corbí","given":"Ángel L.","non-dropping-particle":"","parse-names":false,"suffix":""}],"container-title":"The Journal of Immunology","id":"ITEM-1","issue":"5","issued":{"date-parts":[["2017"]]},"page":"2070-2081","title":"MAFB Determines Human Macrophage Anti-Inflammatory Polarization: Relevance for the Pathogenic Mechanisms Operating in Multicentric Carpotarsal Osteolysis","type":"article-journal","volume":"198"},"uris":["http://www.mendeley.com/documents/?uuid=9dbe05a4-c0e6-4631-add2-1896af232172"]}],"mendeley":{"formattedCitation":"&lt;sup&gt;34&lt;/sup&gt;","plainTextFormattedCitation":"34","previouslyFormattedCitation":"&lt;sup&gt;30&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34</w:t>
      </w:r>
      <w:r w:rsidRPr="00FE7BF6">
        <w:fldChar w:fldCharType="end"/>
      </w:r>
      <w:r w:rsidRPr="00FE7BF6">
        <w:rPr>
          <w:vertAlign w:val="superscript"/>
        </w:rPr>
        <w:t>)</w:t>
      </w:r>
      <w:r w:rsidR="007C30F0" w:rsidRPr="00FE7BF6">
        <w:rPr>
          <w:b/>
          <w:bCs/>
        </w:rPr>
        <w:t xml:space="preserve">. </w:t>
      </w:r>
      <w:r w:rsidRPr="00FE7BF6">
        <w:t>It has been determined that the hematological system, the kidney, the lens, the retina, the pancreatic islet cells, and the brain all depend on the basic leucine zipper (</w:t>
      </w:r>
      <w:proofErr w:type="spellStart"/>
      <w:r w:rsidRPr="00FE7BF6">
        <w:t>bZIP</w:t>
      </w:r>
      <w:proofErr w:type="spellEnd"/>
      <w:r w:rsidRPr="00FE7BF6">
        <w:t>) transcription factor, which is encoded by the gene MAFB. However, study by Beaty et al. indicated that MAFB mRNA and protein expression has been shown in both craniofacial neuroectoderm and neural-crest formed from mesoderm between embryonic days 13.5 and 14.5, suggesting that the gene may be connected with non-syndromic cleft lip or palate (NSCL/P)</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{"citationItems":[{"id":"ITEM-1","itemData":{"DOI":"10.1038/ng.580","ISSN":"10614036","PMID":"20436469","abstract":"Case-parent trios were used in a genome-wide association study of cleft lip with and without cleft palate. SNPs near two genes not previously associated with cleft lip with and without cleft palate (MAFB, most significant SNP rs13041247, with odds ratio (OR) per minor allele = 0.704, 95% CI 0.635-0.778, P = 1.44 × 10-11; and ABCA4, most significant SNP rs560426, with OR = 1.432, 95% CI 1.292-1.587, P = 5.01 × 10-12) and two previously identified regions (at chromosome 8q24 and IRF6) attained genome-wide significance. Stratifying trios into European and Asian ancestry groups revealed differences in statistical significance, although estimated effect sizes remained similar. Replication studies from several populations showed confirming evidence, with families of European ancestry giving stronger evidence for markers in 8q24, whereas Asian families showed stronger evidence for association with MAFB and ABCA4. Expression studies support a role for MAFB in palatal development. © 2010 Nature America, Inc. All rights reserved.","author":[{"dropping-particle":"","family":"Beaty","given":"Terri H.","non-dropping-particle":"","parse-names":false,"suffix":""},{"dropping-particle":"","family":"Murray","given":"Jeffrey C.","non-dropping-particle":"","parse-names":false,"suffix":""},{"dropping-particle":"","family":"Marazita","given":"Mary L.","non-dropping-particle":"","parse-names":false,"suffix":""},{"dropping-particle":"","family":"Munger","given":"Ronald G.","non-dropping-particle":"","parse-names":false,"suffix":""},{"dropping-particle":"","family":"Ruczinski","given":"Ingo","non-dropping-particle":"","parse-names":false,"suffix":""},{"dropping-particle":"","family":"Hetmanski","given":"Jacqueline B.","non-dropping-particle":"","parse-names":false,"suffix":""},{"dropping-particle":"","family":"Liang","given":"Kung Yee","non-dropping-particle":"","parse-names":false,"suffix":""},{"dropping-particle":"","family":"Wu","given":"Tao","non-dropping-particle":"","parse-names":false,"suffix":""},{"dropping-particle":"","family":"Murray","given":"Tanda","non-dropping-particle":"","parse-names":false,"suffix":""},{"dropping-particle":"","family":"Fallin","given":"M. Daniele","non-dropping-particle":"","parse-names":false,"suffix":""},{"dropping-particle":"","family":"Redett","given":"Richard A.","non-dropping-particle":"","parse-names":false,"suffix":""},{"dropping-particle":"","family":"Raymond","given":"Gerald","non-dropping-particle":"","parse-names":false,"suffix":""},{"dropping-particle":"","family":"Schwender","given":"Holger","non-dropping-particle":"","parse-names":false,"suffix":""},{"dropping-particle":"","family":"Jin","given":"Sheng Chih","non-dropping-particle":"","parse-names":false,"suffix":""},{"dropping-particle":"","family":"Cooper","given":"Margaret E.","non-dropping-particle":"","parse-names":false,"suffix":""},{"dropping-particle":"","family":"Dunnwald","given":"Martine","non-dropping-particle":"","parse-names":false,"suffix":""},{"dropping-particle":"","family":"Mansilla","given":"Maria A.","non-dropping-particle":"","parse-names":false,"suffix":""},{"dropping-particle":"","family":"Leslie","given":"Elizabeth","non-dropping-particle":"","parse-names":false,"suffix":""},{"dropping-particle":"","family":"Bullard","given":"Stephen","non-dropping-particle":"","parse-names":false,"suffix":""},{"dropping-particle":"","family":"Lidral","given":"Andrew C.","non-dropping-particle":"","parse-names":false,"suffix":""},{"dropping-particle":"","family":"Moreno","given":"Lina M.","non-dropping-particle":"","parse-names":false,"suffix":""},{"dropping-particle":"","family":"Menezes","given":"Renato","non-dropping-particle":"","parse-names":false,"suffix":""},{"dropping-particle":"","family":"Vieira","given":"Alexandre R.","non-dropping-particle":"","parse-names":false,"suffix":""},{"dropping-particle":"","family":"Petrin","given":"Aline","non-dropping-particle":"","parse-names":false,"suffix":""},{"dropping-particle":"","family":"Wilcox","given":"Allen J.","non-dropping-particle":"","parse-names":false,"suffix":""},{"dropping-particle":"","family":"Lie","given":"Rolv T.","non-dropping-particle":"","parse-names":false,"suffix":""},{"dropping-particle":"","family":"Jabs","given":"Ethylin W.","non-dropping-particle":"","parse-names":false,"suffix":""},{"dropping-particle":"","family":"Wu-Chou","given":"Yah Huei","non-dropping-particle":"","parse-names":false,"suffix":""},{"dropping-particle":"","family":"Chen","given":"Philip K.","non-dropping-particle":"","parse-names":false,"suffix":""},{"dropping-particle":"","family":"Wang","given":"Hong","non-dropping-particle":"","parse-names":false,"suffix":""},{"dropping-particle":"","family":"Ye","given":"Xiaoqian","non-dropping-particle":"","parse-names":false,"suffix":""},{"dropping-particle":"","family":"Huang","given":"Shangzhi","non-dropping-particle":"","parse-names":false,"suffix":""},{"dropping-particle":"","family":"Yeow","given":"Vincent","non-dropping-particle":"","parse-names":false,"suffix":""},{"dropping-particle":"","family":"Chong","given":"Samuel S.","non-dropping-particle":"","parse-names":false,"suffix":""},{"dropping-particle":"","family":"Jee","given":"Sun Ha","non-dropping-particle":"","parse-names":false,"suffix":""},{"dropping-particle":"","family":"Shi","given":"Bing","non-dropping-particle":"","parse-names":false,"suffix":""},{"dropping-particle":"","family":"Christensen","given":"Kaare","non-dropping-particle":"","parse-names":false,"suffix":""},{"dropping-particle":"","family":"Melbye","given":"Mads","non-dropping-particle":"","parse-names":false,"suffix":""},{"dropping-particle":"","family":"Doheny","given":"Kimberly F.","non-dropping-particle":"","parse-names":false,"suffix":""},{"dropping-particle":"","family":"Pugh","given":"Elizabeth W.","non-dropping-particle":"","parse-names":false,"suffix":""},{"dropping-particle":"","family":"Ling","given":"Hua","non-dropping-particle":"","parse-names":false,"suffix":""},{"dropping-particle":"","family":"Castilla","given":"Eduardo E.","non-dropping-particle":"","parse-names":false,"suffix":""},{"dropping-particle":"","family":"Czeizel","given":"Andrew E.","non-dropping-particle":"","parse-names":false,"suffix":""},{"dropping-particle":"","family":"Ma","given":"Lian","non-dropping-particle":"","parse-names":false,"suffix":""},{"dropping-particle":"","family":"Field","given":"L. Leigh","non-dropping-particle":"","parse-names":false,"suffix":""},{"dropping-particle":"","family":"Brody","given":"Lawrence","non-dropping-particle":"","parse-names":false,"suffix":""},{"dropping-particle":"","family":"Pangilinan","given":"Faith","non-dropping-particle":"","parse-names":false,"suffix":""},{"dropping-particle":"","family":"Mills","given":"James L.","non-dropping-particle":"","parse-names":false,"suffix":""},{"dropping-particle":"","family":"Molloy","given":"Anne M.","non-dropping-particle":"","parse-names":false,"suffix":""},{"dropping-particle":"","family":"Kirke","given":"Peadar N.","non-dropping-particle":"","parse-names":false,"suffix":""},{"dropping-particle":"","family":"Scott","given":"James M.","non-dropping-particle":"","parse-names":false,"suffix":""},{"dropping-particle":"","family":"Arcos-Burgos","given":"Mauricio","non-dropping-particle":"","parse-names":false,"suffix":""},{"dropping-particle":"","family":"Scott","given":"Alan F.","non-dropping-particle":"","parse-names":false,"suffix":""}],"container-title":"Nature Genetics","id":"ITEM-1","issue":"6","issued":{"date-parts":[["2010"]]},"page":"525-529","title":"A genome-wide association study of cleft lip with and without cleft palate identifies risk variants near MAFB and ABCA4","type":"article-journal","volume":"42"},"uris":["http://www.mendeley.com/documents/?uuid=86054271-9e04-40f1-a26d-a9ebfc31a7dd"]}],"mendeley":{"formattedCitation":"&lt;sup&gt;35&lt;/sup&gt;","plainTextFormattedCitation":"35","previouslyFormattedCitation":"&lt;sup&gt;31&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35</w:t>
      </w:r>
      <w:r w:rsidRPr="00FE7BF6">
        <w:fldChar w:fldCharType="end"/>
      </w:r>
      <w:r w:rsidRPr="00FE7BF6">
        <w:rPr>
          <w:vertAlign w:val="superscript"/>
        </w:rPr>
        <w:t>)</w:t>
      </w:r>
      <w:r w:rsidR="007C30F0" w:rsidRPr="00FE7BF6">
        <w:t>.</w:t>
      </w:r>
    </w:p>
    <w:p w14:paraId="46202F77" w14:textId="37D07F8C" w:rsidR="00CC3469" w:rsidRPr="00FE7BF6" w:rsidRDefault="00CC3469" w:rsidP="008D7506">
      <w:pPr>
        <w:pStyle w:val="Body"/>
        <w:spacing w:before="240" w:after="60" w:line="240" w:lineRule="atLeast"/>
        <w:ind w:right="476" w:firstLine="0"/>
      </w:pPr>
      <w:r w:rsidRPr="00FE7BF6">
        <w:t>The development process is significantly influenced by fibroblast growth factor receptor type 2 (</w:t>
      </w:r>
      <w:r w:rsidRPr="00FE7BF6">
        <w:rPr>
          <w:i/>
          <w:iCs/>
        </w:rPr>
        <w:t>FGFR2</w:t>
      </w:r>
      <w:r w:rsidRPr="00FE7BF6">
        <w:t xml:space="preserve">). There are two splice versions of it, </w:t>
      </w:r>
      <w:proofErr w:type="spellStart"/>
      <w:r w:rsidRPr="00FE7BF6">
        <w:t>IIIb</w:t>
      </w:r>
      <w:proofErr w:type="spellEnd"/>
      <w:r w:rsidRPr="00FE7BF6">
        <w:t xml:space="preserve"> and IIIc, just as </w:t>
      </w:r>
      <w:r w:rsidRPr="00FE7BF6">
        <w:rPr>
          <w:i/>
          <w:iCs/>
        </w:rPr>
        <w:t>FGFR1</w:t>
      </w:r>
      <w:r w:rsidRPr="00FE7BF6">
        <w:t xml:space="preserve"> and </w:t>
      </w:r>
      <w:r w:rsidRPr="00FE7BF6">
        <w:rPr>
          <w:i/>
          <w:iCs/>
        </w:rPr>
        <w:t>FGFR3</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{"citationItems":[{"id":"ITEM-1","itemData":{"author":[{"dropping-particle":"","family":"Eswarakumar","given":"Vereragavan P","non-dropping-particle":"","parse-names":false,"suffix":""},{"dropping-particle":"","family":"Monsonego-ornan","given":"Efrat","non-dropping-particle":"","parse-names":false,"suffix":""},{"dropping-particle":"","family":"Pines","given":"Mark","non-dropping-particle":"","parse-names":false,"suffix":""},{"dropping-particle":"","family":"Antonopoulou","given":"Ileana","non-dropping-particle":"","parse-names":false,"suffix":""},{"dropping-particle":"","family":"Gillian","given":"M","non-dropping-particle":"","parse-names":false,"suffix":""}],"id":"ITEM-1","issued":{"date-parts":[["2002"]]},"page":"3783-3793","title":"The IIIc alternative of Fgfr2 is a positive regulator of bone formation","type":"article-journal","volume":"3793"},"uris":["http://www.mendeley.com/documents/?uuid=0475fcec-bf4b-4c8b-8345-aa986356216c"]}],"mendeley":{"formattedCitation":"&lt;sup&gt;36&lt;/sup&gt;","plainTextFormattedCitation":"36","previouslyFormattedCitation":"&lt;sup&gt;32&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36</w:t>
      </w:r>
      <w:r w:rsidRPr="00FE7BF6">
        <w:fldChar w:fldCharType="end"/>
      </w:r>
      <w:r w:rsidRPr="00FE7BF6">
        <w:rPr>
          <w:vertAlign w:val="superscript"/>
        </w:rPr>
        <w:t>)</w:t>
      </w:r>
      <w:r w:rsidR="007C30F0" w:rsidRPr="00FE7BF6">
        <w:t xml:space="preserve">. </w:t>
      </w:r>
      <w:r w:rsidRPr="00FE7BF6">
        <w:t xml:space="preserve">Osteoblasts' ability to generate new bone is positively regulated by </w:t>
      </w:r>
      <w:r w:rsidRPr="00FE7BF6">
        <w:rPr>
          <w:i/>
          <w:iCs/>
        </w:rPr>
        <w:t>FGFR2</w:t>
      </w:r>
      <w:r w:rsidRPr="00FE7BF6">
        <w:t xml:space="preserve"> signaling</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{"citationItems":[{"id":"ITEM-1","itemData":{"DOI":"10.1074/jbc.M314323200","ISSN":"00219258","PMID":"15073186","abstract":"Activation of the signal transducers and activators of transcription (STAT) pathway is important in fibroblast growth factor (FGF) modulation of chondrocyte proliferation and endochondral bone formation during embryogenesis. However, it is not known if the FGF/STAT signaling pathway is important for postnatal bone formation. To examine this, we have characterized a novel skeletal phenotype in Stat1-/- mice in which we find a significant increase in bone mineral density, bone mineral content, and other parameters of bone growth. The data show that osteoblasts derived from Stat1-/- mice have decreased expression of cell cycle inhibitor p21WAF/CIP and FGF receptor 3, a known negative regulator of chondrocyte proliferation. Interestingly, Stat1-/- osteoblasts showed increased expression of FGF18 in vivo and increased responsiveness to FGF18 in vitro. These results suggest a mechanism for the regulation of the osteoblast in which Stat1 functions not only to directly regulate the cell cycle but also to modify the repertoire of FGF receptor expression from a potentially inhibitory receptor, FGFR3 to a stimulatory receptor such as FGFR1 or FGFR2.","author":[{"dropping-particle":"","family":"Xiao","given":"Liping","non-dropping-particle":"","parse-names":false,"suffix":""},{"dropping-particle":"","family":"Naganawa","given":"Takahiro","non-dropping-particle":"","parse-names":false,"suffix":""},{"dropping-particle":"","family":"Obugunde","given":"Eneze","non-dropping-particle":"","parse-names":false,"suffix":""},{"dropping-particle":"","family":"Gronowicz","given":"Gloria","non-dropping-particle":"","parse-names":false,"suffix":""},{"dropping-particle":"","family":"Ornitz","given":"David M.","non-dropping-particle":"","parse-names":false,"suffix":""},{"dropping-particle":"","family":"Coffin","given":"J. Douglas","non-dropping-particle":"","parse-names":false,"suffix":""},{"dropping-particle":"","family":"Hurley","given":"Marja M.","non-dropping-particle":"","parse-names":false,"suffix":""}],"container-title":"Journal of Biological Chemistry","id":"ITEM-1","issue":"26","issued":{"date-parts":[["2004"]]},"page":"27743-27752","publisher":"Â© 2004 ASBMB. Currently published by Elsevier Inc; originally published by American Society for Biochemistry and Molecular Biology.","title":"Stat1 controls postnatal bone formation by regulating fibroblast growth factor signaling in osteoblasts","type":"article-journal","volume":"279"},"uris":["http://www.mendeley.com/documents/?uuid=3a06877e-e320-40bb-a3d8-ee997eadf37c"]}],"mendeley":{"formattedCitation":"&lt;sup&gt;37&lt;/sup&gt;","plainTextFormattedCitation":"37","previouslyFormattedCitation":"&lt;sup&gt;33&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37</w:t>
      </w:r>
      <w:r w:rsidRPr="00FE7BF6">
        <w:fldChar w:fldCharType="end"/>
      </w:r>
      <w:r w:rsidRPr="00FE7BF6">
        <w:rPr>
          <w:vertAlign w:val="superscript"/>
        </w:rPr>
        <w:t>)</w:t>
      </w:r>
      <w:r w:rsidR="007C30F0" w:rsidRPr="00FE7BF6">
        <w:t>.</w:t>
      </w:r>
      <w:r w:rsidR="007C30F0" w:rsidRPr="00FE7BF6">
        <w:rPr>
          <w:vertAlign w:val="superscript"/>
        </w:rPr>
        <w:t xml:space="preserve"> </w:t>
      </w:r>
      <w:r w:rsidRPr="00FE7BF6">
        <w:t xml:space="preserve">The expression of </w:t>
      </w:r>
      <w:r w:rsidRPr="00FE7BF6">
        <w:rPr>
          <w:i/>
          <w:iCs/>
        </w:rPr>
        <w:t>FGF</w:t>
      </w:r>
      <w:r w:rsidRPr="00FE7BF6">
        <w:t xml:space="preserve"> family members that are locally expressed during bone formation is necessary for bone growth. Mesenchymal cells &amp; osteoblasts in bone have </w:t>
      </w:r>
      <w:r w:rsidRPr="00FE7BF6">
        <w:rPr>
          <w:i/>
          <w:iCs/>
        </w:rPr>
        <w:t>FGF2</w:t>
      </w:r>
      <w:r w:rsidRPr="00FE7BF6">
        <w:t xml:space="preserve"> transcripts</w:t>
      </w:r>
      <w:r w:rsidR="007C30F0" w:rsidRPr="00FE7BF6">
        <w:t xml:space="preserve"> </w:t>
      </w:r>
      <w:r w:rsidRPr="00FE7BF6">
        <w:rPr>
          <w:vertAlign w:val="superscript"/>
        </w:rPr>
        <w:t>(</w:t>
      </w:r>
      <w:r w:rsidRPr="00FE7BF6">
        <w:rPr>
          <w:b/>
          <w:bCs/>
          <w:vertAlign w:val="superscript"/>
        </w:rPr>
        <w:fldChar w:fldCharType="begin" w:fldLock="1"/>
      </w:r>
      <w:r w:rsidR="00EC7BA8" w:rsidRPr="00FE7BF6">
        <w:rPr>
          <w:b/>
          <w:bCs/>
          <w:vertAlign w:val="superscript"/>
        </w:rPr>
        <w:instrText>ADDIN CSL_CITATION {"citationItems":[{"id":"ITEM-1","itemData":{"DOI":"10.1242/dev.125.7.1241","ISSN":"09501991","PMID":"9477322","abstract":"The development of calvarial bones is tightly co-ordinated with the growth of the brain and needs harmonious interactions between different tissues within the calvarial sutures. Premature fusion of cranial sutures, known as craniosynostosis, presumably involves disturbance of these interactions. Mutations in the homeobox gene Msx2 as well as the FGF receptors cause human craniosynostosis syndromes. Our histological analysis of mouse calvarial development demonstrated morphological differences in the sagittal suture between embryonic and postnatal stages. In vitro culture of mouse calvaria showed that embryonic, but not postnatal, dura mater regulated suture patency. We next analysed by in situ hybridisation the expression of several genes, which are known to act in conserved signalling pathways, in the sagittal suture during embryonic (E15-E18) and postnatal stages (P1-P6). Msx1 and Msx2 were expressed in the sutural mesenchyme and the dura mater, FGPR2(BEK), as well as Bmp2 and Bmp4, were intensely expressed in the osteogenic fronts and Bmp4 also in the mesenchyme of the sagittal suture and in the dura mater. Fgf9 was expressed throughout the calvarial mesenchyme, the dura mater, the developing bones and the overlying skin, but Fgf4 was not detected in these tissues. Interestingly, Shh and Ptc started to be expressed in patched pattern along the osteogenic fronts at the end of embryonic development and, at this time, the expression of Bmp4 and sequentially those of Msx2 and Bmp2 were reduced, and they also acquired patched expression patterns. The expression of Msx2 in the dura disappeared after birth. FGF and BMP signalling pathways were further examined in vitro, in E15 mouse calvarial explants. Interestingly, beads soaked in FGF4 accelerated sutural closure when placed on the osteogenic fronts, but had no such effect when placed on the mid-sutural mesenchyme. BMP4 beads caused an increase in tissue volume both when placed on the osteogenic fronts and on the mid-sutural area, but did not effect suture closure. BMP4 induced the expression of both Msx1 and Msx2 genes in sutural tissue, while FGF4 induced only Msx1. We suggest that the local application of FGF on the osteogenic fronts accelerating suture closure in vitro, mimics the pathogenesis of human craniosynostosis syndromes in which mutations in the FGF receptor genes apparently cause constitutive activation of the receptors. Taken together, our data suggest that conserved signalling pathways reg…","author":[{"dropping-particle":"","family":"Kim","given":"Hyun Jung","non-dropping-particle":"","parse-names":false,"suffix":""},{"dropping-particle":"","family":"Rice","given":"David P.C.","non-dropping-particle":"","parse-names":false,"suffix":""},{"dropping-particle":"","family":"Kettunen","given":"Päivi J.","non-dropping-particle":"","parse-names":false,"suffix":""},{"dropping-particle":"","family":"Thesleff","given":"Irma","non-dropping-particle":"","parse-names":false,"suffix":""}],"container-title":"Development","id":"ITEM-1","issue":"7","issued":{"date-parts":[["1998"]]},"page":"1241-1251","title":"FGF-, BMP- and Shh-mediated signalling pathways in the regulation of cranial suture morphogenesis and calvarial bone development","type":"article-journal","volume":"125"},"uris":["http://www.mendeley.com/documents/?uuid=43413291-a282-48a4-8218-7ebc60b750d1"]}],"mendeley":{"formattedCitation":"&lt;sup&gt;38&lt;/sup&gt;","plainTextFormattedCitation":"38","previouslyFormattedCitation":"&lt;sup&gt;34&lt;/sup&gt;"},"properties":{"noteIndex":0},"schema":"https://github.com/citation-style-language/schema/raw/master/csl-citation.json"}</w:instrText>
      </w:r>
      <w:r w:rsidRPr="00FE7BF6">
        <w:rPr>
          <w:b/>
          <w:bCs/>
          <w:vertAlign w:val="superscript"/>
        </w:rPr>
        <w:fldChar w:fldCharType="separate"/>
      </w:r>
      <w:r w:rsidR="00EC7BA8" w:rsidRPr="00FE7BF6">
        <w:rPr>
          <w:bCs/>
          <w:noProof/>
          <w:vertAlign w:val="superscript"/>
        </w:rPr>
        <w:t>38</w:t>
      </w:r>
      <w:r w:rsidRPr="00FE7BF6">
        <w:fldChar w:fldCharType="end"/>
      </w:r>
      <w:r w:rsidRPr="00FE7BF6">
        <w:rPr>
          <w:vertAlign w:val="superscript"/>
        </w:rPr>
        <w:t>)</w:t>
      </w:r>
      <w:r w:rsidR="007C30F0" w:rsidRPr="00FE7BF6">
        <w:t>.</w:t>
      </w:r>
    </w:p>
    <w:p w14:paraId="610C77F3" w14:textId="7FF6BF77" w:rsidR="00CC3469" w:rsidRPr="00FE7BF6" w:rsidRDefault="00CC3469" w:rsidP="00016703">
      <w:pPr>
        <w:pStyle w:val="Body"/>
        <w:spacing w:before="240" w:after="60" w:line="240" w:lineRule="atLeast"/>
        <w:ind w:right="476" w:firstLine="0"/>
      </w:pPr>
      <w:r w:rsidRPr="00FE7BF6">
        <w:rPr>
          <w:iCs/>
        </w:rPr>
        <w:t xml:space="preserve">All tested samples had unclear readings </w:t>
      </w:r>
      <w:r w:rsidR="008D7506" w:rsidRPr="00FE7BF6">
        <w:rPr>
          <w:iCs/>
        </w:rPr>
        <w:t xml:space="preserve">for </w:t>
      </w:r>
      <w:r w:rsidRPr="00FE7BF6">
        <w:rPr>
          <w:iCs/>
        </w:rPr>
        <w:t xml:space="preserve">both </w:t>
      </w:r>
      <w:r w:rsidRPr="00FE7BF6">
        <w:rPr>
          <w:i/>
        </w:rPr>
        <w:t xml:space="preserve">MAFB </w:t>
      </w:r>
      <w:r w:rsidRPr="00FE7BF6">
        <w:rPr>
          <w:iCs/>
        </w:rPr>
        <w:t xml:space="preserve">and </w:t>
      </w:r>
      <w:r w:rsidRPr="00FE7BF6">
        <w:rPr>
          <w:i/>
        </w:rPr>
        <w:t>FGFR2</w:t>
      </w:r>
      <w:r w:rsidRPr="00FE7BF6">
        <w:rPr>
          <w:iCs/>
        </w:rPr>
        <w:t xml:space="preserve"> genes</w:t>
      </w:r>
      <w:r w:rsidRPr="00FE7BF6">
        <w:t xml:space="preserve">. The majority of sequencing errors for Sanger sequencing are </w:t>
      </w:r>
      <w:r w:rsidR="008B3DF3" w:rsidRPr="00FE7BF6">
        <w:t xml:space="preserve">besides low DNA quality, the main reason sequencing fails is the wrong concentration of DNA template in the template + primer mix. Furthermore, the </w:t>
      </w:r>
      <w:r w:rsidRPr="00FE7BF6">
        <w:t xml:space="preserve">adding </w:t>
      </w:r>
      <w:r w:rsidR="008B3DF3" w:rsidRPr="00FE7BF6">
        <w:t xml:space="preserve">of </w:t>
      </w:r>
      <w:r w:rsidRPr="00FE7BF6">
        <w:t>wrong primer or a poor primer to the template, inaccuracies during the amplification phase, random variation, and sample contamination</w:t>
      </w:r>
      <w:r w:rsidR="008B3DF3" w:rsidRPr="00FE7BF6">
        <w:t xml:space="preserve"> will </w:t>
      </w:r>
      <w:r w:rsidR="000A748E" w:rsidRPr="00FE7BF6">
        <w:t>effect</w:t>
      </w:r>
      <w:r w:rsidR="008B3DF3" w:rsidRPr="00FE7BF6">
        <w:t xml:space="preserve"> on the result</w:t>
      </w:r>
      <w:r w:rsidRPr="00FE7BF6">
        <w:t>. Additionally, sequencing errors often start to build up near the conclusion of lengthy sequences due to reduced intensities and missing termination variants</w:t>
      </w:r>
      <w:r w:rsidR="007C30F0" w:rsidRPr="00FE7BF6">
        <w:t xml:space="preserve"> </w:t>
      </w:r>
      <w:r w:rsidRPr="00FE7BF6">
        <w:rPr>
          <w:vertAlign w:val="superscript"/>
        </w:rPr>
        <w:t>(</w:t>
      </w:r>
      <w:r w:rsidRPr="00FE7BF6">
        <w:rPr>
          <w:vertAlign w:val="superscript"/>
        </w:rPr>
        <w:fldChar w:fldCharType="begin" w:fldLock="1"/>
      </w:r>
      <w:r w:rsidR="00EC7BA8" w:rsidRPr="00FE7BF6">
        <w:rPr>
          <w:vertAlign w:val="superscript"/>
        </w:rPr>
        <w:instrText>ADDIN CSL_CITATION {"citationItems":[{"id":"ITEM-1","itemData":{"DOI":"10.1002/bies.200900181","ISSN":"02659247","PMID":"20486139","abstract":"Recent advances in DNA sequencing have revolutionized the field of genomics, making it possible for even single research groups to generate large amounts of sequence data very rapidly and at a substantially lower cost. These high-throughput sequencing technologies make deep transcriptome sequencing and transcript quantification, whole genome sequencing and resequencing available to many more researchers and projects. However, while the cost and time have been greatly reduced, the error profiles and limitations of the new platforms differ significantly from those of previous sequencing technologies. The selection of an appropriate sequencing platform for particular types of experiments is an important consideration, and requires a detailed understanding of the technologies available; including sources of error, error rate, as well as the speed and cost of sequencing. We review the relevant concepts and compare the issues raised by the current high-throughput DNA sequencing technologies. We analyze how future developments may overcome these limitations and what challenges remain. © 2010 Wiley Periodicals, Inc.","author":[{"dropping-particle":"","family":"Kircher","given":"Martin","non-dropping-particle":"","parse-names":false,"suffix":""},{"dropping-particle":"","family":"Kelso","given":"Janet","non-dropping-particle":"","parse-names":false,"suffix":""}],"container-title":"BioEssays","id":"ITEM-1","issue":"6","issued":{"date-parts":[["2010"]]},"page":"524-536","title":"High-throughput DNA sequencing - Concepts and limitations","type":"article-journal","volume":"32"},"uris":["http://www.mendeley.com/documents/?uuid=2c9804ce-842c-42b7-9365-02984306378c"]}],"mendeley":{"formattedCitation":"&lt;sup&gt;39&lt;/sup&gt;","plainTextFormattedCitation":"39","previouslyFormattedCitation":"&lt;sup&gt;35&lt;/sup&gt;"},"properties":{"noteIndex":0},"schema":"https://github.com/citation-style-language/schema/raw/master/csl-citation.json"}</w:instrText>
      </w:r>
      <w:r w:rsidRPr="00FE7BF6">
        <w:rPr>
          <w:vertAlign w:val="superscript"/>
        </w:rPr>
        <w:fldChar w:fldCharType="separate"/>
      </w:r>
      <w:r w:rsidR="00EC7BA8" w:rsidRPr="00FE7BF6">
        <w:rPr>
          <w:noProof/>
          <w:vertAlign w:val="superscript"/>
        </w:rPr>
        <w:t>39</w:t>
      </w:r>
      <w:r w:rsidRPr="00FE7BF6">
        <w:fldChar w:fldCharType="end"/>
      </w:r>
      <w:r w:rsidRPr="00FE7BF6">
        <w:rPr>
          <w:vertAlign w:val="superscript"/>
        </w:rPr>
        <w:t>)</w:t>
      </w:r>
      <w:r w:rsidR="007C30F0" w:rsidRPr="00FE7BF6">
        <w:t>.</w:t>
      </w:r>
      <w:r w:rsidR="002D7E4D" w:rsidRPr="00FE7BF6">
        <w:t xml:space="preserve"> </w:t>
      </w:r>
    </w:p>
    <w:p w14:paraId="4D4C1E4D" w14:textId="567FC3F7" w:rsidR="002D7E4D" w:rsidRPr="00264F4D" w:rsidRDefault="00264F4D" w:rsidP="00264F4D">
      <w:pPr>
        <w:pBdr>
          <w:top w:val="nil"/>
          <w:left w:val="nil"/>
          <w:bottom w:val="nil"/>
          <w:right w:val="nil"/>
          <w:between w:val="nil"/>
          <w:bar w:val="nil"/>
        </w:pBdr>
        <w:spacing w:before="240" w:after="60" w:line="240" w:lineRule="atLeast"/>
        <w:ind w:right="476" w:firstLine="0"/>
        <w:rPr>
          <w:rFonts w:eastAsia="Palatino Linotype" w:cs="Palatino Linotype"/>
          <w:noProof w:val="0"/>
          <w:u w:color="000000"/>
          <w:bdr w:val="nil"/>
          <w:lang w:eastAsia="en-US"/>
          <w14:textOutline w14:w="0" w14:cap="flat" w14:cmpd="sng" w14:algn="ctr">
            <w14:noFill/>
            <w14:prstDash w14:val="solid"/>
            <w14:bevel/>
          </w14:textOutline>
        </w:rPr>
      </w:pPr>
      <w:r w:rsidRPr="00FE7BF6">
        <w:rPr>
          <w:rFonts w:eastAsia="Palatino Linotype" w:cs="Palatino Linotype"/>
          <w:noProof w:val="0"/>
          <w:u w:color="000000"/>
          <w:bdr w:val="nil"/>
          <w:lang w:eastAsia="en-US"/>
          <w14:textOutline w14:w="0" w14:cap="flat" w14:cmpd="sng" w14:algn="ctr">
            <w14:noFill/>
            <w14:prstDash w14:val="solid"/>
            <w14:bevel/>
          </w14:textOutline>
        </w:rPr>
        <w:t>The primary limitation of our study was the small sample size, which is important to investigate any potential associations between SNPs and specific traits. Additional research with larger samples and other demographic profiles is necessary in order to validate our results.</w:t>
      </w:r>
    </w:p>
    <w:p w14:paraId="72393EAA" w14:textId="156649DC" w:rsidR="00AD30DC" w:rsidRPr="00060C12" w:rsidRDefault="003F61FD" w:rsidP="003F61FD">
      <w:pPr>
        <w:pStyle w:val="Body"/>
        <w:spacing w:before="240" w:after="60" w:line="240" w:lineRule="atLeast"/>
        <w:ind w:left="0" w:right="476"/>
        <w:rPr>
          <w:rFonts w:eastAsia="Calibri Light" w:cstheme="majorBidi"/>
        </w:rPr>
      </w:pPr>
      <w:r>
        <w:rPr>
          <w:rFonts w:eastAsia="Calibri Light" w:cstheme="majorBidi"/>
        </w:rPr>
        <w:t xml:space="preserve">     </w:t>
      </w:r>
      <w:r w:rsidR="00AD30DC" w:rsidRPr="00060C12">
        <w:rPr>
          <w:rFonts w:cstheme="majorBidi"/>
          <w:b/>
          <w:bCs/>
        </w:rPr>
        <w:t>Conclusion</w:t>
      </w:r>
    </w:p>
    <w:p w14:paraId="17024F0E" w14:textId="10C52424" w:rsidR="00AD30DC" w:rsidRPr="005F36B8" w:rsidRDefault="00CC3469" w:rsidP="004765DB">
      <w:pPr>
        <w:pStyle w:val="Body"/>
        <w:spacing w:before="240" w:after="60" w:line="240" w:lineRule="atLeast"/>
        <w:ind w:right="476"/>
        <w:rPr>
          <w:rFonts w:eastAsia="Calibri Light" w:cstheme="majorBidi"/>
        </w:rPr>
      </w:pPr>
      <w:r w:rsidRPr="00CC3469">
        <w:rPr>
          <w:rFonts w:cstheme="majorBidi"/>
        </w:rPr>
        <w:t xml:space="preserve">The study suggests a potential association between genetic alterations in </w:t>
      </w:r>
      <w:r w:rsidRPr="00CC3469">
        <w:rPr>
          <w:rFonts w:cstheme="majorBidi"/>
          <w:i/>
          <w:iCs/>
        </w:rPr>
        <w:t>SOX2</w:t>
      </w:r>
      <w:r w:rsidRPr="00CC3469">
        <w:rPr>
          <w:rFonts w:cstheme="majorBidi"/>
        </w:rPr>
        <w:t xml:space="preserve"> and </w:t>
      </w:r>
      <w:r w:rsidRPr="00CC3469">
        <w:rPr>
          <w:rFonts w:cstheme="majorBidi"/>
          <w:i/>
          <w:iCs/>
        </w:rPr>
        <w:t>FGFR1</w:t>
      </w:r>
      <w:r w:rsidRPr="00CC3469">
        <w:rPr>
          <w:rFonts w:cstheme="majorBidi"/>
        </w:rPr>
        <w:t xml:space="preserve"> and occurrence of Class III malocclusion. Nevertheless, further investigation utilizing a larger sample size is required to validate these findings.</w:t>
      </w:r>
      <w:r w:rsidRPr="00CC3469" w:rsidDel="00A429EC">
        <w:rPr>
          <w:rFonts w:cstheme="majorBidi"/>
        </w:rPr>
        <w:t xml:space="preserve"> </w:t>
      </w:r>
    </w:p>
    <w:p w14:paraId="1B88CE56" w14:textId="6A607050" w:rsidR="00EF70C7" w:rsidRDefault="00AD30DC" w:rsidP="00EF70C7">
      <w:pPr>
        <w:pStyle w:val="Body"/>
        <w:spacing w:before="240" w:after="60" w:line="240" w:lineRule="atLeast"/>
        <w:ind w:left="0" w:right="476" w:firstLine="720"/>
        <w:rPr>
          <w:rFonts w:cstheme="majorBidi"/>
        </w:rPr>
      </w:pPr>
      <w:r w:rsidRPr="00060C12">
        <w:rPr>
          <w:rFonts w:cstheme="majorBidi"/>
          <w:b/>
          <w:bCs/>
        </w:rPr>
        <w:t>Conflict of interest</w:t>
      </w:r>
    </w:p>
    <w:p w14:paraId="0758DA09" w14:textId="77777777" w:rsidR="00BC3CAF" w:rsidRDefault="00BC3CAF" w:rsidP="00BC3CAF">
      <w:pPr>
        <w:pStyle w:val="Body"/>
        <w:spacing w:before="240" w:after="60" w:line="240" w:lineRule="atLeast"/>
        <w:ind w:left="0" w:right="476" w:firstLine="720"/>
        <w:rPr>
          <w:rFonts w:eastAsia="Calibri Light" w:cstheme="majorBidi"/>
          <w:b/>
          <w:bCs/>
          <w:sz w:val="21"/>
          <w:szCs w:val="21"/>
        </w:rPr>
      </w:pPr>
      <w:r w:rsidRPr="00BC3CAF">
        <w:rPr>
          <w:rFonts w:cstheme="majorBidi"/>
        </w:rPr>
        <w:t>The authors have no conflicts of interest to declare.</w:t>
      </w:r>
      <w:r w:rsidR="00411515" w:rsidRPr="00CE2509">
        <w:rPr>
          <w:rFonts w:eastAsia="Calibri Light" w:cstheme="majorBidi"/>
          <w:b/>
          <w:bCs/>
          <w:sz w:val="21"/>
          <w:szCs w:val="21"/>
        </w:rPr>
        <w:tab/>
      </w:r>
    </w:p>
    <w:p w14:paraId="31F5BB7D" w14:textId="16D5137A" w:rsidR="00411515" w:rsidRPr="00CE2509" w:rsidRDefault="00411515" w:rsidP="00BC3CAF">
      <w:pPr>
        <w:pStyle w:val="Body"/>
        <w:spacing w:before="240" w:after="60" w:line="240" w:lineRule="atLeast"/>
        <w:ind w:left="0" w:right="476" w:firstLine="720"/>
        <w:rPr>
          <w:rFonts w:eastAsia="Calibri Light" w:cstheme="majorBidi"/>
          <w:b/>
          <w:bCs/>
          <w:sz w:val="21"/>
          <w:szCs w:val="21"/>
        </w:rPr>
      </w:pPr>
      <w:r w:rsidRPr="00CE2509">
        <w:rPr>
          <w:rFonts w:eastAsia="Calibri Light" w:cstheme="majorBidi"/>
          <w:b/>
          <w:bCs/>
          <w:sz w:val="21"/>
          <w:szCs w:val="21"/>
        </w:rPr>
        <w:lastRenderedPageBreak/>
        <w:t>Author contributions</w:t>
      </w:r>
    </w:p>
    <w:p w14:paraId="67DD2233" w14:textId="26279C06" w:rsidR="00411515" w:rsidRDefault="008F50F9" w:rsidP="008F50F9">
      <w:pPr>
        <w:pStyle w:val="Body"/>
        <w:spacing w:before="240" w:after="60" w:line="240" w:lineRule="atLeast"/>
        <w:ind w:firstLine="0"/>
        <w:rPr>
          <w:rFonts w:eastAsia="Calibri Light" w:cstheme="majorBidi"/>
          <w:sz w:val="21"/>
          <w:szCs w:val="21"/>
        </w:rPr>
      </w:pPr>
      <w:r w:rsidRPr="008F50F9">
        <w:rPr>
          <w:rFonts w:eastAsia="Calibri Light" w:cstheme="majorBidi"/>
          <w:sz w:val="21"/>
          <w:szCs w:val="21"/>
        </w:rPr>
        <w:t>AMB</w:t>
      </w:r>
      <w:r>
        <w:rPr>
          <w:rFonts w:eastAsia="Calibri Light" w:cstheme="majorBidi"/>
          <w:sz w:val="21"/>
          <w:szCs w:val="21"/>
        </w:rPr>
        <w:t xml:space="preserve"> and</w:t>
      </w:r>
      <w:r w:rsidRPr="008F50F9">
        <w:rPr>
          <w:rFonts w:eastAsia="Calibri Light" w:cstheme="majorBidi"/>
          <w:sz w:val="21"/>
          <w:szCs w:val="21"/>
        </w:rPr>
        <w:t xml:space="preserve"> </w:t>
      </w:r>
      <w:r w:rsidR="007C30F0" w:rsidRPr="008F50F9">
        <w:rPr>
          <w:rFonts w:eastAsia="Calibri Light" w:cstheme="majorBidi"/>
          <w:sz w:val="21"/>
          <w:szCs w:val="21"/>
        </w:rPr>
        <w:t>MA</w:t>
      </w:r>
      <w:r w:rsidR="00EF70C7" w:rsidRPr="008F50F9">
        <w:rPr>
          <w:rFonts w:eastAsia="Calibri Light" w:cstheme="majorBidi"/>
          <w:sz w:val="21"/>
          <w:szCs w:val="21"/>
        </w:rPr>
        <w:t xml:space="preserve">; </w:t>
      </w:r>
      <w:r w:rsidR="000C10A8" w:rsidRPr="008F50F9">
        <w:rPr>
          <w:rFonts w:eastAsia="Calibri Light" w:cstheme="majorBidi"/>
          <w:sz w:val="21"/>
          <w:szCs w:val="21"/>
        </w:rPr>
        <w:t>study conception and design</w:t>
      </w:r>
      <w:r w:rsidR="00EF70C7" w:rsidRPr="008F50F9">
        <w:rPr>
          <w:rFonts w:eastAsia="Calibri Light" w:cstheme="majorBidi"/>
          <w:sz w:val="21"/>
          <w:szCs w:val="21"/>
        </w:rPr>
        <w:t>.</w:t>
      </w:r>
      <w:r w:rsidR="000C10A8" w:rsidRPr="008F50F9">
        <w:rPr>
          <w:rFonts w:eastAsia="Calibri Light" w:cstheme="majorBidi"/>
          <w:sz w:val="21"/>
          <w:szCs w:val="21"/>
        </w:rPr>
        <w:t xml:space="preserve"> </w:t>
      </w:r>
      <w:r w:rsidR="007C30F0" w:rsidRPr="008F50F9">
        <w:rPr>
          <w:rFonts w:eastAsia="Calibri Light" w:cstheme="majorBidi"/>
          <w:sz w:val="21"/>
          <w:szCs w:val="21"/>
        </w:rPr>
        <w:t>AMB</w:t>
      </w:r>
      <w:r w:rsidR="00EF70C7" w:rsidRPr="008F50F9">
        <w:rPr>
          <w:rFonts w:eastAsia="Calibri Light" w:cstheme="majorBidi"/>
          <w:sz w:val="21"/>
          <w:szCs w:val="21"/>
        </w:rPr>
        <w:t xml:space="preserve">; </w:t>
      </w:r>
      <w:r w:rsidR="000C10A8" w:rsidRPr="008F50F9">
        <w:rPr>
          <w:rFonts w:eastAsia="Calibri Light" w:cstheme="majorBidi"/>
          <w:sz w:val="21"/>
          <w:szCs w:val="21"/>
        </w:rPr>
        <w:t xml:space="preserve">data collection. </w:t>
      </w:r>
      <w:r w:rsidR="007C30F0" w:rsidRPr="008F50F9">
        <w:rPr>
          <w:rFonts w:eastAsia="Calibri Light" w:cstheme="majorBidi"/>
          <w:sz w:val="21"/>
          <w:szCs w:val="21"/>
        </w:rPr>
        <w:t>AMB</w:t>
      </w:r>
      <w:r w:rsidR="00CE2509" w:rsidRPr="008F50F9">
        <w:rPr>
          <w:rFonts w:eastAsia="Calibri Light" w:cstheme="majorBidi"/>
          <w:sz w:val="21"/>
          <w:szCs w:val="21"/>
        </w:rPr>
        <w:t xml:space="preserve"> and </w:t>
      </w:r>
      <w:r w:rsidR="007C30F0" w:rsidRPr="008F50F9">
        <w:rPr>
          <w:rFonts w:eastAsia="Calibri Light" w:cstheme="majorBidi"/>
          <w:sz w:val="21"/>
          <w:szCs w:val="21"/>
        </w:rPr>
        <w:t>MA</w:t>
      </w:r>
      <w:r w:rsidR="00CE2509" w:rsidRPr="008F50F9">
        <w:rPr>
          <w:rFonts w:eastAsia="Calibri Light" w:cstheme="majorBidi"/>
          <w:sz w:val="21"/>
          <w:szCs w:val="21"/>
        </w:rPr>
        <w:t xml:space="preserve">; Methodology. </w:t>
      </w:r>
      <w:r w:rsidR="006705C9">
        <w:rPr>
          <w:rFonts w:eastAsia="Calibri Light" w:cstheme="majorBidi"/>
          <w:sz w:val="21"/>
          <w:szCs w:val="21"/>
        </w:rPr>
        <w:t>AMB</w:t>
      </w:r>
      <w:r w:rsidR="00EF70C7" w:rsidRPr="008F50F9">
        <w:rPr>
          <w:rFonts w:eastAsia="Calibri Light" w:cstheme="majorBidi"/>
          <w:sz w:val="21"/>
          <w:szCs w:val="21"/>
        </w:rPr>
        <w:t xml:space="preserve"> and </w:t>
      </w:r>
      <w:r w:rsidR="006705C9">
        <w:rPr>
          <w:rFonts w:eastAsia="Calibri Light" w:cstheme="majorBidi"/>
          <w:sz w:val="21"/>
          <w:szCs w:val="21"/>
        </w:rPr>
        <w:t>MA;</w:t>
      </w:r>
      <w:r w:rsidR="000C10A8" w:rsidRPr="008F50F9">
        <w:rPr>
          <w:rFonts w:eastAsia="Calibri Light" w:cstheme="majorBidi"/>
          <w:sz w:val="21"/>
          <w:szCs w:val="21"/>
        </w:rPr>
        <w:t xml:space="preserve"> </w:t>
      </w:r>
      <w:r w:rsidR="00CE2509" w:rsidRPr="008F50F9">
        <w:rPr>
          <w:rFonts w:eastAsia="Calibri Light" w:cstheme="majorBidi"/>
          <w:sz w:val="21"/>
          <w:szCs w:val="21"/>
        </w:rPr>
        <w:t xml:space="preserve">statistical </w:t>
      </w:r>
      <w:r w:rsidR="000C10A8" w:rsidRPr="008F50F9">
        <w:rPr>
          <w:rFonts w:eastAsia="Calibri Light" w:cstheme="majorBidi"/>
          <w:sz w:val="21"/>
          <w:szCs w:val="21"/>
        </w:rPr>
        <w:t>analysis and interpretation of results</w:t>
      </w:r>
      <w:r w:rsidR="00EF70C7" w:rsidRPr="008F50F9">
        <w:rPr>
          <w:rFonts w:eastAsia="Calibri Light" w:cstheme="majorBidi"/>
          <w:sz w:val="21"/>
          <w:szCs w:val="21"/>
        </w:rPr>
        <w:t>.</w:t>
      </w:r>
      <w:r w:rsidR="000C10A8" w:rsidRPr="008F50F9">
        <w:rPr>
          <w:rFonts w:eastAsia="Calibri Light" w:cstheme="majorBidi"/>
          <w:sz w:val="21"/>
          <w:szCs w:val="21"/>
        </w:rPr>
        <w:t xml:space="preserve"> </w:t>
      </w:r>
      <w:r w:rsidR="007C30F0" w:rsidRPr="008F50F9">
        <w:rPr>
          <w:rFonts w:eastAsia="Calibri Light" w:cstheme="majorBidi"/>
          <w:sz w:val="21"/>
          <w:szCs w:val="21"/>
        </w:rPr>
        <w:t xml:space="preserve">AMB, MA </w:t>
      </w:r>
      <w:r w:rsidR="00EF70C7" w:rsidRPr="008F50F9">
        <w:rPr>
          <w:rFonts w:eastAsia="Calibri Light" w:cstheme="majorBidi"/>
          <w:sz w:val="21"/>
          <w:szCs w:val="21"/>
        </w:rPr>
        <w:t xml:space="preserve">and </w:t>
      </w:r>
      <w:r w:rsidR="007C30F0" w:rsidRPr="008F50F9">
        <w:rPr>
          <w:rFonts w:eastAsia="Calibri Light" w:cstheme="majorBidi"/>
          <w:sz w:val="21"/>
          <w:szCs w:val="21"/>
        </w:rPr>
        <w:t>EA</w:t>
      </w:r>
      <w:r w:rsidR="00CE2509" w:rsidRPr="008F50F9">
        <w:rPr>
          <w:rFonts w:eastAsia="Calibri Light" w:cstheme="majorBidi"/>
          <w:sz w:val="21"/>
          <w:szCs w:val="21"/>
        </w:rPr>
        <w:t xml:space="preserve">; </w:t>
      </w:r>
      <w:r w:rsidR="00EF70C7" w:rsidRPr="008F50F9">
        <w:rPr>
          <w:rFonts w:eastAsia="Calibri Light" w:cstheme="majorBidi"/>
          <w:sz w:val="21"/>
          <w:szCs w:val="21"/>
        </w:rPr>
        <w:t xml:space="preserve">Writing - review &amp; editing. </w:t>
      </w:r>
      <w:r w:rsidR="00CE2509" w:rsidRPr="008F50F9">
        <w:rPr>
          <w:rFonts w:eastAsia="Calibri Light" w:cstheme="majorBidi"/>
          <w:sz w:val="21"/>
          <w:szCs w:val="21"/>
        </w:rPr>
        <w:t xml:space="preserve">Supervision; </w:t>
      </w:r>
      <w:r w:rsidR="007C30F0" w:rsidRPr="008F50F9">
        <w:rPr>
          <w:rFonts w:eastAsia="Calibri Light" w:cstheme="majorBidi"/>
          <w:sz w:val="21"/>
          <w:szCs w:val="21"/>
        </w:rPr>
        <w:t>MA</w:t>
      </w:r>
      <w:r w:rsidR="00CE2509" w:rsidRPr="008F50F9">
        <w:rPr>
          <w:rFonts w:eastAsia="Calibri Light" w:cstheme="majorBidi"/>
          <w:sz w:val="21"/>
          <w:szCs w:val="21"/>
        </w:rPr>
        <w:t xml:space="preserve"> and </w:t>
      </w:r>
      <w:r w:rsidR="007C30F0" w:rsidRPr="008F50F9">
        <w:rPr>
          <w:rFonts w:eastAsia="Calibri Light" w:cstheme="majorBidi"/>
          <w:sz w:val="21"/>
          <w:szCs w:val="21"/>
        </w:rPr>
        <w:t>EA</w:t>
      </w:r>
      <w:r w:rsidR="00CE2509" w:rsidRPr="008F50F9">
        <w:rPr>
          <w:rFonts w:eastAsia="Calibri Light" w:cstheme="majorBidi"/>
          <w:sz w:val="21"/>
          <w:szCs w:val="21"/>
        </w:rPr>
        <w:t xml:space="preserve">. </w:t>
      </w:r>
      <w:r w:rsidR="000C10A8" w:rsidRPr="008F50F9">
        <w:rPr>
          <w:rFonts w:eastAsia="Calibri Light" w:cstheme="majorBidi"/>
          <w:sz w:val="21"/>
          <w:szCs w:val="21"/>
        </w:rPr>
        <w:t>All authors reviewed the results and approved the final version of the manuscript</w:t>
      </w:r>
      <w:r w:rsidR="00CE2509" w:rsidRPr="008F50F9">
        <w:rPr>
          <w:rFonts w:eastAsia="Calibri Light" w:cstheme="majorBidi"/>
          <w:sz w:val="21"/>
          <w:szCs w:val="21"/>
        </w:rPr>
        <w:t xml:space="preserve"> to be published</w:t>
      </w:r>
      <w:r w:rsidR="000C10A8" w:rsidRPr="008F50F9">
        <w:rPr>
          <w:rFonts w:eastAsia="Calibri Light" w:cstheme="majorBidi"/>
          <w:sz w:val="21"/>
          <w:szCs w:val="21"/>
        </w:rPr>
        <w:t>.</w:t>
      </w:r>
    </w:p>
    <w:p w14:paraId="567CAEE2" w14:textId="77777777" w:rsidR="0060021B" w:rsidRPr="0060021B" w:rsidRDefault="0060021B" w:rsidP="0060021B">
      <w:pPr>
        <w:pStyle w:val="Body"/>
        <w:spacing w:before="240" w:after="60" w:line="240" w:lineRule="atLeast"/>
        <w:ind w:left="0" w:right="476" w:firstLine="720"/>
        <w:rPr>
          <w:rFonts w:cstheme="majorBidi"/>
          <w:b/>
          <w:bCs/>
          <w:lang w:val="it-IT"/>
        </w:rPr>
      </w:pPr>
      <w:r w:rsidRPr="00D511C3">
        <w:rPr>
          <w:rFonts w:cstheme="majorBidi"/>
          <w:b/>
          <w:bCs/>
          <w:lang w:val="it-IT"/>
        </w:rPr>
        <w:t>Acknoledgement</w:t>
      </w:r>
      <w:r>
        <w:rPr>
          <w:rFonts w:cstheme="majorBidi"/>
          <w:b/>
          <w:bCs/>
          <w:lang w:val="it-IT"/>
        </w:rPr>
        <w:t xml:space="preserve"> and </w:t>
      </w:r>
      <w:r>
        <w:rPr>
          <w:rFonts w:eastAsia="Calibri Light" w:cstheme="majorBidi"/>
          <w:b/>
          <w:bCs/>
          <w:sz w:val="21"/>
          <w:szCs w:val="21"/>
        </w:rPr>
        <w:t>f</w:t>
      </w:r>
      <w:r w:rsidRPr="00D511C3">
        <w:rPr>
          <w:rFonts w:eastAsia="Calibri Light" w:cstheme="majorBidi"/>
          <w:b/>
          <w:bCs/>
          <w:sz w:val="21"/>
          <w:szCs w:val="21"/>
        </w:rPr>
        <w:t>unding</w:t>
      </w:r>
    </w:p>
    <w:p w14:paraId="5314DB4D" w14:textId="42F0C958" w:rsidR="005E3940" w:rsidRPr="00AA7A58" w:rsidRDefault="00CC3469" w:rsidP="00AA7A58">
      <w:pPr>
        <w:pStyle w:val="Body"/>
        <w:spacing w:before="240" w:after="60" w:line="240" w:lineRule="atLeast"/>
        <w:ind w:firstLine="0"/>
        <w:rPr>
          <w:rFonts w:cstheme="majorBidi"/>
          <w:lang w:val="it-IT"/>
        </w:rPr>
      </w:pPr>
      <w:r w:rsidRPr="00CC3469">
        <w:rPr>
          <w:rFonts w:cstheme="majorBidi"/>
          <w:lang w:val="it-IT"/>
        </w:rPr>
        <w:t xml:space="preserve">There was no external support for this study. </w:t>
      </w:r>
    </w:p>
    <w:p w14:paraId="63F34E3D" w14:textId="7B2F8689" w:rsidR="000B02A4" w:rsidRPr="000B02A4" w:rsidRDefault="000B02A4" w:rsidP="00CE2509">
      <w:pPr>
        <w:pStyle w:val="Body"/>
        <w:spacing w:before="240" w:after="60" w:line="240" w:lineRule="atLeast"/>
        <w:ind w:firstLine="0"/>
        <w:rPr>
          <w:rFonts w:eastAsia="Calibri Light" w:cstheme="majorBidi"/>
          <w:b/>
          <w:bCs/>
          <w:sz w:val="21"/>
          <w:szCs w:val="21"/>
        </w:rPr>
      </w:pPr>
      <w:r w:rsidRPr="000B02A4">
        <w:rPr>
          <w:rFonts w:eastAsia="Calibri Light" w:cstheme="majorBidi"/>
          <w:b/>
          <w:bCs/>
          <w:sz w:val="21"/>
          <w:szCs w:val="21"/>
        </w:rPr>
        <w:t>Informed consent</w:t>
      </w:r>
    </w:p>
    <w:p w14:paraId="6AF5C402" w14:textId="5F202458" w:rsidR="007C30F0" w:rsidRPr="005E3940" w:rsidRDefault="000B02A4" w:rsidP="005E3940">
      <w:pPr>
        <w:pStyle w:val="Body"/>
        <w:spacing w:before="240" w:after="60" w:line="240" w:lineRule="atLeast"/>
        <w:ind w:firstLine="0"/>
        <w:rPr>
          <w:rFonts w:eastAsia="Calibri Light" w:cstheme="majorBidi"/>
          <w:sz w:val="21"/>
          <w:szCs w:val="21"/>
        </w:rPr>
      </w:pPr>
      <w:r w:rsidRPr="000B02A4">
        <w:rPr>
          <w:rFonts w:eastAsia="Calibri Light" w:cstheme="majorBidi"/>
          <w:sz w:val="21"/>
          <w:szCs w:val="21"/>
        </w:rPr>
        <w:t xml:space="preserve">Informed consent </w:t>
      </w:r>
      <w:r>
        <w:rPr>
          <w:rFonts w:eastAsia="Calibri Light" w:cstheme="majorBidi"/>
          <w:sz w:val="21"/>
          <w:szCs w:val="21"/>
        </w:rPr>
        <w:t>was</w:t>
      </w:r>
      <w:r w:rsidRPr="000B02A4">
        <w:rPr>
          <w:rFonts w:eastAsia="Calibri Light" w:cstheme="majorBidi"/>
          <w:sz w:val="21"/>
          <w:szCs w:val="21"/>
        </w:rPr>
        <w:t xml:space="preserve"> obtained from all individuals </w:t>
      </w:r>
      <w:r>
        <w:rPr>
          <w:rFonts w:eastAsia="Calibri Light" w:cstheme="majorBidi"/>
          <w:sz w:val="21"/>
          <w:szCs w:val="21"/>
        </w:rPr>
        <w:t xml:space="preserve">or their guardians </w:t>
      </w:r>
      <w:r w:rsidRPr="000B02A4">
        <w:rPr>
          <w:rFonts w:eastAsia="Calibri Light" w:cstheme="majorBidi"/>
          <w:sz w:val="21"/>
          <w:szCs w:val="21"/>
        </w:rPr>
        <w:t>included in this study</w:t>
      </w:r>
      <w:r w:rsidR="0060021B">
        <w:rPr>
          <w:rFonts w:eastAsia="Calibri Light" w:cstheme="majorBidi"/>
          <w:sz w:val="21"/>
          <w:szCs w:val="21"/>
        </w:rPr>
        <w:t>.</w:t>
      </w:r>
    </w:p>
    <w:p w14:paraId="29C10867" w14:textId="34A22310" w:rsidR="004910D1" w:rsidRPr="004910D1" w:rsidRDefault="009201F7" w:rsidP="006F6D23">
      <w:pPr>
        <w:pBdr>
          <w:top w:val="nil"/>
          <w:left w:val="nil"/>
          <w:bottom w:val="nil"/>
          <w:right w:val="nil"/>
          <w:between w:val="nil"/>
          <w:bar w:val="nil"/>
        </w:pBdr>
        <w:spacing w:before="240" w:after="60" w:line="240" w:lineRule="auto"/>
        <w:ind w:right="476" w:firstLine="0"/>
        <w:rPr>
          <w:rFonts w:eastAsia="Calibri Light"/>
          <w:noProof w:val="0"/>
          <w:u w:color="000000"/>
          <w:bdr w:val="nil"/>
          <w:lang w:eastAsia="en-US"/>
          <w14:textOutline w14:w="0" w14:cap="flat" w14:cmpd="sng" w14:algn="ctr">
            <w14:noFill/>
            <w14:prstDash w14:val="solid"/>
            <w14:bevel/>
          </w14:textOutline>
        </w:rPr>
      </w:pPr>
      <w:r>
        <w:rPr>
          <w:rFonts w:eastAsia="Palatino Linotype"/>
          <w:b/>
          <w:bCs/>
          <w:noProof w:val="0"/>
          <w:u w:color="000000"/>
          <w:bdr w:val="nil"/>
          <w:lang w:eastAsia="en-US"/>
          <w14:textOutline w14:w="0" w14:cap="flat" w14:cmpd="sng" w14:algn="ctr">
            <w14:noFill/>
            <w14:prstDash w14:val="solid"/>
            <w14:bevel/>
          </w14:textOutline>
        </w:rPr>
        <w:t>R</w:t>
      </w:r>
      <w:r w:rsidRPr="004910D1">
        <w:rPr>
          <w:rFonts w:eastAsia="Palatino Linotype"/>
          <w:b/>
          <w:bCs/>
          <w:noProof w:val="0"/>
          <w:u w:color="000000"/>
          <w:bdr w:val="nil"/>
          <w:lang w:eastAsia="en-US"/>
          <w14:textOutline w14:w="0" w14:cap="flat" w14:cmpd="sng" w14:algn="ctr">
            <w14:noFill/>
            <w14:prstDash w14:val="solid"/>
            <w14:bevel/>
          </w14:textOutline>
        </w:rPr>
        <w:t>eferences</w:t>
      </w:r>
    </w:p>
    <w:p w14:paraId="68AA2A09" w14:textId="70591FC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Claudino</w:t>
      </w:r>
      <w:proofErr w:type="spellEnd"/>
      <w:r w:rsidRPr="00C27A37">
        <w:rPr>
          <w:rFonts w:eastAsia="Arial Unicode MS"/>
          <w:sz w:val="16"/>
          <w:szCs w:val="16"/>
          <w14:textOutline w14:w="0" w14:cap="flat" w14:cmpd="sng" w14:algn="ctr">
            <w14:noFill/>
            <w14:prstDash w14:val="solid"/>
            <w14:bevel/>
          </w14:textOutline>
        </w:rPr>
        <w:t xml:space="preserve"> D, </w:t>
      </w:r>
      <w:proofErr w:type="spellStart"/>
      <w:r w:rsidRPr="00C27A37">
        <w:rPr>
          <w:rFonts w:eastAsia="Arial Unicode MS"/>
          <w:sz w:val="16"/>
          <w:szCs w:val="16"/>
          <w14:textOutline w14:w="0" w14:cap="flat" w14:cmpd="sng" w14:algn="ctr">
            <w14:noFill/>
            <w14:prstDash w14:val="solid"/>
            <w14:bevel/>
          </w14:textOutline>
        </w:rPr>
        <w:t>Traebert</w:t>
      </w:r>
      <w:proofErr w:type="spellEnd"/>
      <w:r w:rsidRPr="00C27A37">
        <w:rPr>
          <w:rFonts w:eastAsia="Arial Unicode MS"/>
          <w:sz w:val="16"/>
          <w:szCs w:val="16"/>
          <w14:textOutline w14:w="0" w14:cap="flat" w14:cmpd="sng" w14:algn="ctr">
            <w14:noFill/>
            <w14:prstDash w14:val="solid"/>
            <w14:bevel/>
          </w14:textOutline>
        </w:rPr>
        <w:t xml:space="preserve"> J. Malocclusion, dental aesthetic self-perception and quality of life in a 18 to 21 year-old population: A cross section study. BMC Oral Health. 2013;13:2-7.</w:t>
      </w:r>
      <w:r w:rsidRPr="00C27A37">
        <w:rPr>
          <w:rFonts w:eastAsia="Arial Unicode MS" w:hint="cs"/>
          <w:sz w:val="16"/>
          <w:szCs w:val="16"/>
          <w:rtl/>
          <w14:textOutline w14:w="0" w14:cap="flat" w14:cmpd="sng" w14:algn="ctr">
            <w14:noFill/>
            <w14:prstDash w14:val="solid"/>
            <w14:bevel/>
          </w14:textOutline>
        </w:rPr>
        <w:t xml:space="preserve"> </w:t>
      </w:r>
      <w:hyperlink r:id="rId21" w:history="1">
        <w:r w:rsidRPr="00C27A37">
          <w:rPr>
            <w:rStyle w:val="Hyperlink"/>
            <w:rFonts w:eastAsia="Arial Unicode MS"/>
            <w:sz w:val="16"/>
            <w:szCs w:val="16"/>
            <w14:textOutline w14:w="0" w14:cap="flat" w14:cmpd="sng" w14:algn="ctr">
              <w14:noFill/>
              <w14:prstDash w14:val="solid"/>
              <w14:bevel/>
            </w14:textOutline>
          </w:rPr>
          <w:t>https://doi.org/10.1186/1472-6831-13-3</w:t>
        </w:r>
      </w:hyperlink>
      <w:r w:rsidRPr="00C27A37">
        <w:rPr>
          <w:rFonts w:eastAsia="Arial Unicode MS" w:hint="cs"/>
          <w:sz w:val="16"/>
          <w:szCs w:val="16"/>
          <w:rtl/>
          <w14:textOutline w14:w="0" w14:cap="flat" w14:cmpd="sng" w14:algn="ctr">
            <w14:noFill/>
            <w14:prstDash w14:val="solid"/>
            <w14:bevel/>
          </w14:textOutline>
        </w:rPr>
        <w:t xml:space="preserve"> </w:t>
      </w:r>
    </w:p>
    <w:p w14:paraId="10989936" w14:textId="0C6CD9D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Ali MA, </w:t>
      </w:r>
      <w:proofErr w:type="spellStart"/>
      <w:r w:rsidRPr="00C27A37">
        <w:rPr>
          <w:rFonts w:eastAsia="Arial Unicode MS"/>
          <w:sz w:val="16"/>
          <w:szCs w:val="16"/>
          <w14:textOutline w14:w="0" w14:cap="flat" w14:cmpd="sng" w14:algn="ctr">
            <w14:noFill/>
            <w14:prstDash w14:val="solid"/>
            <w14:bevel/>
          </w14:textOutline>
        </w:rPr>
        <w:t>Yassir</w:t>
      </w:r>
      <w:proofErr w:type="spellEnd"/>
      <w:r w:rsidRPr="00C27A37">
        <w:rPr>
          <w:rFonts w:eastAsia="Arial Unicode MS"/>
          <w:sz w:val="16"/>
          <w:szCs w:val="16"/>
          <w14:textOutline w14:w="0" w14:cap="flat" w14:cmpd="sng" w14:algn="ctr">
            <w14:noFill/>
            <w14:prstDash w14:val="solid"/>
            <w14:bevel/>
          </w14:textOutline>
        </w:rPr>
        <w:t xml:space="preserve"> YA. Mandibular Clinical Arch Forms in Iraqi Population: A National Survey. Diagnostics. 2022;12:1-15.</w:t>
      </w:r>
      <w:r w:rsidRPr="00C27A37">
        <w:rPr>
          <w:rFonts w:eastAsia="Arial Unicode MS" w:hint="cs"/>
          <w:sz w:val="16"/>
          <w:szCs w:val="16"/>
          <w:rtl/>
          <w14:textOutline w14:w="0" w14:cap="flat" w14:cmpd="sng" w14:algn="ctr">
            <w14:noFill/>
            <w14:prstDash w14:val="solid"/>
            <w14:bevel/>
          </w14:textOutline>
        </w:rPr>
        <w:t xml:space="preserve"> </w:t>
      </w:r>
      <w:hyperlink r:id="rId22" w:history="1">
        <w:r w:rsidRPr="00C27A37">
          <w:rPr>
            <w:rStyle w:val="Hyperlink"/>
            <w:rFonts w:eastAsia="Arial Unicode MS"/>
            <w:sz w:val="16"/>
            <w:szCs w:val="16"/>
            <w14:textOutline w14:w="0" w14:cap="flat" w14:cmpd="sng" w14:algn="ctr">
              <w14:noFill/>
              <w14:prstDash w14:val="solid"/>
              <w14:bevel/>
            </w14:textOutline>
          </w:rPr>
          <w:t>https://doi.org/10.3390/diagnostics12102352</w:t>
        </w:r>
      </w:hyperlink>
      <w:r w:rsidRPr="00C27A37">
        <w:rPr>
          <w:rFonts w:eastAsia="Arial Unicode MS" w:hint="cs"/>
          <w:sz w:val="16"/>
          <w:szCs w:val="16"/>
          <w:rtl/>
          <w14:textOutline w14:w="0" w14:cap="flat" w14:cmpd="sng" w14:algn="ctr">
            <w14:noFill/>
            <w14:prstDash w14:val="solid"/>
            <w14:bevel/>
          </w14:textOutline>
        </w:rPr>
        <w:t xml:space="preserve"> </w:t>
      </w:r>
    </w:p>
    <w:p w14:paraId="6256F563" w14:textId="45D4E282"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Najm</w:t>
      </w:r>
      <w:proofErr w:type="spellEnd"/>
      <w:r w:rsidRPr="00C27A37">
        <w:rPr>
          <w:rFonts w:eastAsia="Arial Unicode MS"/>
          <w:sz w:val="16"/>
          <w:szCs w:val="16"/>
          <w14:textOutline w14:w="0" w14:cap="flat" w14:cmpd="sng" w14:algn="ctr">
            <w14:noFill/>
            <w14:prstDash w14:val="solid"/>
            <w14:bevel/>
          </w14:textOutline>
        </w:rPr>
        <w:t xml:space="preserve"> AA, Mahdi AS, Al-Sudani RJ. Prevalence of Dental Anomalies among Iraqi Dental Students. J Baghdad Coll Dent. 2016;28:72-6.</w:t>
      </w:r>
      <w:r w:rsidRPr="00C27A37">
        <w:rPr>
          <w:rFonts w:eastAsia="Arial Unicode MS" w:hint="cs"/>
          <w:sz w:val="16"/>
          <w:szCs w:val="16"/>
          <w:rtl/>
          <w14:textOutline w14:w="0" w14:cap="flat" w14:cmpd="sng" w14:algn="ctr">
            <w14:noFill/>
            <w14:prstDash w14:val="solid"/>
            <w14:bevel/>
          </w14:textOutline>
        </w:rPr>
        <w:t xml:space="preserve"> </w:t>
      </w:r>
      <w:hyperlink r:id="rId23" w:history="1">
        <w:r w:rsidRPr="00C27A37">
          <w:rPr>
            <w:rStyle w:val="Hyperlink"/>
            <w:rFonts w:eastAsia="Arial Unicode MS"/>
            <w:sz w:val="16"/>
            <w:szCs w:val="16"/>
            <w14:textOutline w14:w="0" w14:cap="flat" w14:cmpd="sng" w14:algn="ctr">
              <w14:noFill/>
              <w14:prstDash w14:val="solid"/>
              <w14:bevel/>
            </w14:textOutline>
          </w:rPr>
          <w:t>https://doi.org/10.12816/0033214</w:t>
        </w:r>
      </w:hyperlink>
      <w:r w:rsidRPr="00C27A37">
        <w:rPr>
          <w:rFonts w:eastAsia="Arial Unicode MS" w:hint="cs"/>
          <w:sz w:val="16"/>
          <w:szCs w:val="16"/>
          <w:rtl/>
          <w14:textOutline w14:w="0" w14:cap="flat" w14:cmpd="sng" w14:algn="ctr">
            <w14:noFill/>
            <w14:prstDash w14:val="solid"/>
            <w14:bevel/>
          </w14:textOutline>
        </w:rPr>
        <w:t xml:space="preserve"> </w:t>
      </w:r>
    </w:p>
    <w:p w14:paraId="487B53F1" w14:textId="35D03D5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Moreno Uribe LM, Miller SF. Genetics of the dentofacial variation in human malocclusion.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xml:space="preserve"> Craniofacial Res. 2015;18:91-9.</w:t>
      </w:r>
      <w:r w:rsidRPr="00C27A37">
        <w:rPr>
          <w:rFonts w:eastAsia="Arial Unicode MS" w:hint="cs"/>
          <w:sz w:val="16"/>
          <w:szCs w:val="16"/>
          <w:rtl/>
          <w14:textOutline w14:w="0" w14:cap="flat" w14:cmpd="sng" w14:algn="ctr">
            <w14:noFill/>
            <w14:prstDash w14:val="solid"/>
            <w14:bevel/>
          </w14:textOutline>
        </w:rPr>
        <w:t xml:space="preserve"> </w:t>
      </w:r>
      <w:hyperlink r:id="rId24" w:history="1">
        <w:r w:rsidRPr="00C27A37">
          <w:rPr>
            <w:rStyle w:val="Hyperlink"/>
            <w:rFonts w:eastAsia="Arial Unicode MS"/>
            <w:sz w:val="16"/>
            <w:szCs w:val="16"/>
            <w14:textOutline w14:w="0" w14:cap="flat" w14:cmpd="sng" w14:algn="ctr">
              <w14:noFill/>
              <w14:prstDash w14:val="solid"/>
              <w14:bevel/>
            </w14:textOutline>
          </w:rPr>
          <w:t>https://doi.org/10.1111/ocr.12083</w:t>
        </w:r>
      </w:hyperlink>
      <w:r w:rsidRPr="00C27A37">
        <w:rPr>
          <w:rFonts w:eastAsia="Arial Unicode MS" w:hint="cs"/>
          <w:sz w:val="16"/>
          <w:szCs w:val="16"/>
          <w:rtl/>
          <w14:textOutline w14:w="0" w14:cap="flat" w14:cmpd="sng" w14:algn="ctr">
            <w14:noFill/>
            <w14:prstDash w14:val="solid"/>
            <w14:bevel/>
          </w14:textOutline>
        </w:rPr>
        <w:t xml:space="preserve"> </w:t>
      </w:r>
    </w:p>
    <w:p w14:paraId="564424E9" w14:textId="5AA1D2F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Staudt CB, </w:t>
      </w:r>
      <w:proofErr w:type="spellStart"/>
      <w:r w:rsidRPr="00C27A37">
        <w:rPr>
          <w:rFonts w:eastAsia="Arial Unicode MS"/>
          <w:sz w:val="16"/>
          <w:szCs w:val="16"/>
          <w14:textOutline w14:w="0" w14:cap="flat" w14:cmpd="sng" w14:algn="ctr">
            <w14:noFill/>
            <w14:prstDash w14:val="solid"/>
            <w14:bevel/>
          </w14:textOutline>
        </w:rPr>
        <w:t>Kiliaridis</w:t>
      </w:r>
      <w:proofErr w:type="spellEnd"/>
      <w:r w:rsidRPr="00C27A37">
        <w:rPr>
          <w:rFonts w:eastAsia="Arial Unicode MS"/>
          <w:sz w:val="16"/>
          <w:szCs w:val="16"/>
          <w14:textOutline w14:w="0" w14:cap="flat" w14:cmpd="sng" w14:algn="ctr">
            <w14:noFill/>
            <w14:prstDash w14:val="solid"/>
            <w14:bevel/>
          </w14:textOutline>
        </w:rPr>
        <w:t xml:space="preserve"> S. Different skeletal types underlying Class III malocclusion in a random population. Am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xml:space="preserve"> </w:t>
      </w:r>
      <w:proofErr w:type="spellStart"/>
      <w:r w:rsidRPr="00C27A37">
        <w:rPr>
          <w:rFonts w:eastAsia="Arial Unicode MS"/>
          <w:sz w:val="16"/>
          <w:szCs w:val="16"/>
          <w14:textOutline w14:w="0" w14:cap="flat" w14:cmpd="sng" w14:algn="ctr">
            <w14:noFill/>
            <w14:prstDash w14:val="solid"/>
            <w14:bevel/>
          </w14:textOutline>
        </w:rPr>
        <w:t>Dentofac</w:t>
      </w:r>
      <w:proofErr w:type="spellEnd"/>
      <w:r w:rsidRPr="00C27A37">
        <w:rPr>
          <w:rFonts w:eastAsia="Arial Unicode MS"/>
          <w:sz w:val="16"/>
          <w:szCs w:val="16"/>
          <w14:textOutline w14:w="0" w14:cap="flat" w14:cmpd="sng" w14:algn="ctr">
            <w14:noFill/>
            <w14:prstDash w14:val="solid"/>
            <w14:bevel/>
          </w14:textOutline>
        </w:rPr>
        <w:t xml:space="preserve"> </w:t>
      </w:r>
      <w:proofErr w:type="spellStart"/>
      <w:r w:rsidRPr="00C27A37">
        <w:rPr>
          <w:rFonts w:eastAsia="Arial Unicode MS"/>
          <w:sz w:val="16"/>
          <w:szCs w:val="16"/>
          <w14:textOutline w14:w="0" w14:cap="flat" w14:cmpd="sng" w14:algn="ctr">
            <w14:noFill/>
            <w14:prstDash w14:val="solid"/>
            <w14:bevel/>
          </w14:textOutline>
        </w:rPr>
        <w:t>Orthop</w:t>
      </w:r>
      <w:proofErr w:type="spellEnd"/>
      <w:r w:rsidRPr="00C27A37">
        <w:rPr>
          <w:rFonts w:eastAsia="Arial Unicode MS"/>
          <w:sz w:val="16"/>
          <w:szCs w:val="16"/>
          <w14:textOutline w14:w="0" w14:cap="flat" w14:cmpd="sng" w14:algn="ctr">
            <w14:noFill/>
            <w14:prstDash w14:val="solid"/>
            <w14:bevel/>
          </w14:textOutline>
        </w:rPr>
        <w:t>. 2009;136:715-21.</w:t>
      </w:r>
      <w:r w:rsidRPr="00C27A37">
        <w:rPr>
          <w:rFonts w:eastAsia="Arial Unicode MS" w:hint="cs"/>
          <w:sz w:val="16"/>
          <w:szCs w:val="16"/>
          <w:rtl/>
          <w14:textOutline w14:w="0" w14:cap="flat" w14:cmpd="sng" w14:algn="ctr">
            <w14:noFill/>
            <w14:prstDash w14:val="solid"/>
            <w14:bevel/>
          </w14:textOutline>
        </w:rPr>
        <w:t xml:space="preserve"> </w:t>
      </w:r>
      <w:hyperlink r:id="rId25" w:history="1">
        <w:r w:rsidRPr="00C27A37">
          <w:rPr>
            <w:rStyle w:val="Hyperlink"/>
            <w:rFonts w:eastAsia="Arial Unicode MS"/>
            <w:sz w:val="16"/>
            <w:szCs w:val="16"/>
            <w14:textOutline w14:w="0" w14:cap="flat" w14:cmpd="sng" w14:algn="ctr">
              <w14:noFill/>
              <w14:prstDash w14:val="solid"/>
              <w14:bevel/>
            </w14:textOutline>
          </w:rPr>
          <w:t>https://doi.org/10.1016/j.ajodo.2007.10.061</w:t>
        </w:r>
      </w:hyperlink>
      <w:r w:rsidRPr="00C27A37">
        <w:rPr>
          <w:rFonts w:eastAsia="Arial Unicode MS" w:hint="cs"/>
          <w:sz w:val="16"/>
          <w:szCs w:val="16"/>
          <w:rtl/>
          <w14:textOutline w14:w="0" w14:cap="flat" w14:cmpd="sng" w14:algn="ctr">
            <w14:noFill/>
            <w14:prstDash w14:val="solid"/>
            <w14:bevel/>
          </w14:textOutline>
        </w:rPr>
        <w:t xml:space="preserve"> </w:t>
      </w:r>
    </w:p>
    <w:p w14:paraId="3B53B2C6" w14:textId="0593CC9B"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Abdulhussein</w:t>
      </w:r>
      <w:proofErr w:type="spellEnd"/>
      <w:r w:rsidRPr="00C27A37">
        <w:rPr>
          <w:rFonts w:eastAsia="Arial Unicode MS"/>
          <w:sz w:val="16"/>
          <w:szCs w:val="16"/>
          <w14:textOutline w14:w="0" w14:cap="flat" w14:cmpd="sng" w14:algn="ctr">
            <w14:noFill/>
            <w14:prstDash w14:val="solid"/>
            <w14:bevel/>
          </w14:textOutline>
        </w:rPr>
        <w:t xml:space="preserve"> ZA, Aksoy A. Compliance of Patients with Class III Malocclusion to Orthodontic Treatment. J Baghdad Coll Dent. 2022;34:12-24.</w:t>
      </w:r>
      <w:r w:rsidRPr="00C27A37">
        <w:rPr>
          <w:rFonts w:eastAsia="Arial Unicode MS" w:hint="cs"/>
          <w:sz w:val="16"/>
          <w:szCs w:val="16"/>
          <w:rtl/>
          <w14:textOutline w14:w="0" w14:cap="flat" w14:cmpd="sng" w14:algn="ctr">
            <w14:noFill/>
            <w14:prstDash w14:val="solid"/>
            <w14:bevel/>
          </w14:textOutline>
        </w:rPr>
        <w:t xml:space="preserve"> </w:t>
      </w:r>
      <w:hyperlink r:id="rId26" w:history="1">
        <w:r w:rsidRPr="00C27A37">
          <w:rPr>
            <w:rStyle w:val="Hyperlink"/>
            <w:rFonts w:eastAsia="Arial Unicode MS"/>
            <w:sz w:val="16"/>
            <w:szCs w:val="16"/>
            <w14:textOutline w14:w="0" w14:cap="flat" w14:cmpd="sng" w14:algn="ctr">
              <w14:noFill/>
              <w14:prstDash w14:val="solid"/>
              <w14:bevel/>
            </w14:textOutline>
          </w:rPr>
          <w:t>https://doi.org/10.26477/jbcd.v34i1.3087</w:t>
        </w:r>
      </w:hyperlink>
      <w:r w:rsidRPr="00C27A37">
        <w:rPr>
          <w:rFonts w:eastAsia="Arial Unicode MS" w:hint="cs"/>
          <w:sz w:val="16"/>
          <w:szCs w:val="16"/>
          <w:rtl/>
          <w14:textOutline w14:w="0" w14:cap="flat" w14:cmpd="sng" w14:algn="ctr">
            <w14:noFill/>
            <w14:prstDash w14:val="solid"/>
            <w14:bevel/>
          </w14:textOutline>
        </w:rPr>
        <w:t xml:space="preserve"> </w:t>
      </w:r>
    </w:p>
    <w:p w14:paraId="68705F09" w14:textId="32A388C8"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Mossey</w:t>
      </w:r>
      <w:proofErr w:type="spellEnd"/>
      <w:r w:rsidRPr="00C27A37">
        <w:rPr>
          <w:rFonts w:eastAsia="Arial Unicode MS"/>
          <w:sz w:val="16"/>
          <w:szCs w:val="16"/>
          <w14:textOutline w14:w="0" w14:cap="flat" w14:cmpd="sng" w14:algn="ctr">
            <w14:noFill/>
            <w14:prstDash w14:val="solid"/>
            <w14:bevel/>
          </w14:textOutline>
        </w:rPr>
        <w:t xml:space="preserve"> PA. The heritability of malocclusion: Part 1--Genetics, principles and terminology. Br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1999;26:103-13.</w:t>
      </w:r>
      <w:r w:rsidRPr="00C27A37">
        <w:rPr>
          <w:rFonts w:eastAsia="Arial Unicode MS" w:hint="cs"/>
          <w:sz w:val="16"/>
          <w:szCs w:val="16"/>
          <w:rtl/>
          <w14:textOutline w14:w="0" w14:cap="flat" w14:cmpd="sng" w14:algn="ctr">
            <w14:noFill/>
            <w14:prstDash w14:val="solid"/>
            <w14:bevel/>
          </w14:textOutline>
        </w:rPr>
        <w:t xml:space="preserve"> </w:t>
      </w:r>
      <w:hyperlink r:id="rId27" w:history="1">
        <w:r w:rsidRPr="00C27A37">
          <w:rPr>
            <w:rStyle w:val="Hyperlink"/>
            <w:rFonts w:eastAsia="Arial Unicode MS"/>
            <w:sz w:val="16"/>
            <w:szCs w:val="16"/>
            <w14:textOutline w14:w="0" w14:cap="flat" w14:cmpd="sng" w14:algn="ctr">
              <w14:noFill/>
              <w14:prstDash w14:val="solid"/>
              <w14:bevel/>
            </w14:textOutline>
          </w:rPr>
          <w:t>https://doi.org/10.1093/ortho/26.2.103</w:t>
        </w:r>
      </w:hyperlink>
      <w:r w:rsidRPr="00C27A37">
        <w:rPr>
          <w:rFonts w:eastAsia="Arial Unicode MS" w:hint="cs"/>
          <w:sz w:val="16"/>
          <w:szCs w:val="16"/>
          <w:rtl/>
          <w14:textOutline w14:w="0" w14:cap="flat" w14:cmpd="sng" w14:algn="ctr">
            <w14:noFill/>
            <w14:prstDash w14:val="solid"/>
            <w14:bevel/>
          </w14:textOutline>
        </w:rPr>
        <w:t xml:space="preserve"> </w:t>
      </w:r>
    </w:p>
    <w:p w14:paraId="6FE3FF37" w14:textId="16DDC6E5"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Xue</w:t>
      </w:r>
      <w:proofErr w:type="spellEnd"/>
      <w:r w:rsidRPr="00C27A37">
        <w:rPr>
          <w:rFonts w:eastAsia="Arial Unicode MS"/>
          <w:sz w:val="16"/>
          <w:szCs w:val="16"/>
          <w14:textOutline w14:w="0" w14:cap="flat" w14:cmpd="sng" w14:algn="ctr">
            <w14:noFill/>
            <w14:prstDash w14:val="solid"/>
            <w14:bevel/>
          </w14:textOutline>
        </w:rPr>
        <w:t xml:space="preserve"> F, Wong RWK, Rabie ABM. Genes, genetics, and Class III malocclusion.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xml:space="preserve"> Craniofacial Res. 2010;13:69-74.</w:t>
      </w:r>
      <w:r w:rsidRPr="00C27A37">
        <w:rPr>
          <w:rFonts w:eastAsia="Arial Unicode MS" w:hint="cs"/>
          <w:sz w:val="16"/>
          <w:szCs w:val="16"/>
          <w:rtl/>
          <w14:textOutline w14:w="0" w14:cap="flat" w14:cmpd="sng" w14:algn="ctr">
            <w14:noFill/>
            <w14:prstDash w14:val="solid"/>
            <w14:bevel/>
          </w14:textOutline>
        </w:rPr>
        <w:t xml:space="preserve"> </w:t>
      </w:r>
      <w:hyperlink r:id="rId28" w:history="1">
        <w:r w:rsidRPr="00C27A37">
          <w:rPr>
            <w:rStyle w:val="Hyperlink"/>
            <w:rFonts w:eastAsia="Arial Unicode MS"/>
            <w:sz w:val="16"/>
            <w:szCs w:val="16"/>
            <w14:textOutline w14:w="0" w14:cap="flat" w14:cmpd="sng" w14:algn="ctr">
              <w14:noFill/>
              <w14:prstDash w14:val="solid"/>
              <w14:bevel/>
            </w14:textOutline>
          </w:rPr>
          <w:t>https://doi.org/10.1111/j.1601-6343.2010.01485.x</w:t>
        </w:r>
      </w:hyperlink>
      <w:r w:rsidRPr="00C27A37">
        <w:rPr>
          <w:rFonts w:eastAsia="Arial Unicode MS" w:hint="cs"/>
          <w:sz w:val="16"/>
          <w:szCs w:val="16"/>
          <w:rtl/>
          <w14:textOutline w14:w="0" w14:cap="flat" w14:cmpd="sng" w14:algn="ctr">
            <w14:noFill/>
            <w14:prstDash w14:val="solid"/>
            <w14:bevel/>
          </w14:textOutline>
        </w:rPr>
        <w:t xml:space="preserve"> </w:t>
      </w:r>
    </w:p>
    <w:p w14:paraId="709B8430" w14:textId="21607F62"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Hussein AS, </w:t>
      </w:r>
      <w:proofErr w:type="spellStart"/>
      <w:r w:rsidRPr="00C27A37">
        <w:rPr>
          <w:rFonts w:eastAsia="Arial Unicode MS"/>
          <w:sz w:val="16"/>
          <w:szCs w:val="16"/>
          <w14:textOutline w14:w="0" w14:cap="flat" w14:cmpd="sng" w14:algn="ctr">
            <w14:noFill/>
            <w14:prstDash w14:val="solid"/>
            <w14:bevel/>
          </w14:textOutline>
        </w:rPr>
        <w:t>Porntaveetus</w:t>
      </w:r>
      <w:proofErr w:type="spellEnd"/>
      <w:r w:rsidRPr="00C27A37">
        <w:rPr>
          <w:rFonts w:eastAsia="Arial Unicode MS"/>
          <w:sz w:val="16"/>
          <w:szCs w:val="16"/>
          <w14:textOutline w14:w="0" w14:cap="flat" w14:cmpd="sng" w14:algn="ctr">
            <w14:noFill/>
            <w14:prstDash w14:val="solid"/>
            <w14:bevel/>
          </w14:textOutline>
        </w:rPr>
        <w:t xml:space="preserve"> T, Abid M. The association of polymorphisms in BMP2/MYO1H and skeletal Class II div.1 maxillary and mandibular dimensions. A preliminary 'report. Saudi J Biol Sci. 2022;29:1-7.</w:t>
      </w:r>
      <w:r w:rsidRPr="00C27A37">
        <w:rPr>
          <w:rFonts w:eastAsia="Arial Unicode MS" w:hint="cs"/>
          <w:sz w:val="16"/>
          <w:szCs w:val="16"/>
          <w:rtl/>
          <w14:textOutline w14:w="0" w14:cap="flat" w14:cmpd="sng" w14:algn="ctr">
            <w14:noFill/>
            <w14:prstDash w14:val="solid"/>
            <w14:bevel/>
          </w14:textOutline>
        </w:rPr>
        <w:t xml:space="preserve"> </w:t>
      </w:r>
      <w:hyperlink r:id="rId29" w:history="1">
        <w:r w:rsidRPr="00C27A37">
          <w:rPr>
            <w:rStyle w:val="Hyperlink"/>
            <w:rFonts w:eastAsia="Arial Unicode MS"/>
            <w:sz w:val="16"/>
            <w:szCs w:val="16"/>
            <w14:textOutline w14:w="0" w14:cap="flat" w14:cmpd="sng" w14:algn="ctr">
              <w14:noFill/>
              <w14:prstDash w14:val="solid"/>
              <w14:bevel/>
            </w14:textOutline>
          </w:rPr>
          <w:t>https://doi.org/10.1016/j.sjbs.2022.103405</w:t>
        </w:r>
      </w:hyperlink>
      <w:r w:rsidRPr="00C27A37">
        <w:rPr>
          <w:rFonts w:eastAsia="Arial Unicode MS" w:hint="cs"/>
          <w:sz w:val="16"/>
          <w:szCs w:val="16"/>
          <w:rtl/>
          <w14:textOutline w14:w="0" w14:cap="flat" w14:cmpd="sng" w14:algn="ctr">
            <w14:noFill/>
            <w14:prstDash w14:val="solid"/>
            <w14:bevel/>
          </w14:textOutline>
        </w:rPr>
        <w:t xml:space="preserve"> </w:t>
      </w:r>
    </w:p>
    <w:p w14:paraId="641F02DB" w14:textId="0778E87A"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Manolio</w:t>
      </w:r>
      <w:proofErr w:type="spellEnd"/>
      <w:r w:rsidRPr="00C27A37">
        <w:rPr>
          <w:rFonts w:eastAsia="Arial Unicode MS"/>
          <w:sz w:val="16"/>
          <w:szCs w:val="16"/>
          <w14:textOutline w14:w="0" w14:cap="flat" w14:cmpd="sng" w14:algn="ctr">
            <w14:noFill/>
            <w14:prstDash w14:val="solid"/>
            <w14:bevel/>
          </w14:textOutline>
        </w:rPr>
        <w:t xml:space="preserve"> TA. </w:t>
      </w:r>
      <w:proofErr w:type="spellStart"/>
      <w:r w:rsidRPr="00C27A37">
        <w:rPr>
          <w:rFonts w:eastAsia="Arial Unicode MS"/>
          <w:sz w:val="16"/>
          <w:szCs w:val="16"/>
          <w14:textOutline w14:w="0" w14:cap="flat" w14:cmpd="sng" w14:algn="ctr">
            <w14:noFill/>
            <w14:prstDash w14:val="solid"/>
            <w14:bevel/>
          </w14:textOutline>
        </w:rPr>
        <w:t>Genomewide</w:t>
      </w:r>
      <w:proofErr w:type="spellEnd"/>
      <w:r w:rsidRPr="00C27A37">
        <w:rPr>
          <w:rFonts w:eastAsia="Arial Unicode MS"/>
          <w:sz w:val="16"/>
          <w:szCs w:val="16"/>
          <w14:textOutline w14:w="0" w14:cap="flat" w14:cmpd="sng" w14:algn="ctr">
            <w14:noFill/>
            <w14:prstDash w14:val="solid"/>
            <w14:bevel/>
          </w14:textOutline>
        </w:rPr>
        <w:t xml:space="preserve"> Association Studies and Assessment of the Risk of Disease. N </w:t>
      </w:r>
      <w:proofErr w:type="spellStart"/>
      <w:r w:rsidRPr="00C27A37">
        <w:rPr>
          <w:rFonts w:eastAsia="Arial Unicode MS"/>
          <w:sz w:val="16"/>
          <w:szCs w:val="16"/>
          <w14:textOutline w14:w="0" w14:cap="flat" w14:cmpd="sng" w14:algn="ctr">
            <w14:noFill/>
            <w14:prstDash w14:val="solid"/>
            <w14:bevel/>
          </w14:textOutline>
        </w:rPr>
        <w:t>Engl</w:t>
      </w:r>
      <w:proofErr w:type="spellEnd"/>
      <w:r w:rsidRPr="00C27A37">
        <w:rPr>
          <w:rFonts w:eastAsia="Arial Unicode MS"/>
          <w:sz w:val="16"/>
          <w:szCs w:val="16"/>
          <w14:textOutline w14:w="0" w14:cap="flat" w14:cmpd="sng" w14:algn="ctr">
            <w14:noFill/>
            <w14:prstDash w14:val="solid"/>
            <w14:bevel/>
          </w14:textOutline>
        </w:rPr>
        <w:t xml:space="preserve"> J Med. 2010;363:166-76.</w:t>
      </w:r>
      <w:r w:rsidRPr="00C27A37">
        <w:rPr>
          <w:rFonts w:eastAsia="Arial Unicode MS" w:hint="cs"/>
          <w:sz w:val="16"/>
          <w:szCs w:val="16"/>
          <w:rtl/>
          <w14:textOutline w14:w="0" w14:cap="flat" w14:cmpd="sng" w14:algn="ctr">
            <w14:noFill/>
            <w14:prstDash w14:val="solid"/>
            <w14:bevel/>
          </w14:textOutline>
        </w:rPr>
        <w:t xml:space="preserve"> </w:t>
      </w:r>
      <w:hyperlink r:id="rId30" w:history="1">
        <w:r w:rsidRPr="00C27A37">
          <w:rPr>
            <w:rStyle w:val="Hyperlink"/>
            <w:rFonts w:eastAsia="Arial Unicode MS"/>
            <w:sz w:val="16"/>
            <w:szCs w:val="16"/>
            <w14:textOutline w14:w="0" w14:cap="flat" w14:cmpd="sng" w14:algn="ctr">
              <w14:noFill/>
              <w14:prstDash w14:val="solid"/>
              <w14:bevel/>
            </w14:textOutline>
          </w:rPr>
          <w:t>https://doi.org/10.1056/NEJMra0905980</w:t>
        </w:r>
      </w:hyperlink>
      <w:r w:rsidRPr="00C27A37">
        <w:rPr>
          <w:rFonts w:eastAsia="Arial Unicode MS" w:hint="cs"/>
          <w:sz w:val="16"/>
          <w:szCs w:val="16"/>
          <w:rtl/>
          <w14:textOutline w14:w="0" w14:cap="flat" w14:cmpd="sng" w14:algn="ctr">
            <w14:noFill/>
            <w14:prstDash w14:val="solid"/>
            <w14:bevel/>
          </w14:textOutline>
        </w:rPr>
        <w:t xml:space="preserve"> </w:t>
      </w:r>
    </w:p>
    <w:p w14:paraId="660160A7" w14:textId="6055431C"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Weiler</w:t>
      </w:r>
      <w:proofErr w:type="spellEnd"/>
      <w:r w:rsidRPr="00C27A37">
        <w:rPr>
          <w:rFonts w:eastAsia="Arial Unicode MS"/>
          <w:sz w:val="16"/>
          <w:szCs w:val="16"/>
          <w14:textOutline w14:w="0" w14:cap="flat" w14:cmpd="sng" w14:algn="ctr">
            <w14:noFill/>
            <w14:prstDash w14:val="solid"/>
            <w14:bevel/>
          </w14:textOutline>
        </w:rPr>
        <w:t xml:space="preserve"> CA, </w:t>
      </w:r>
      <w:proofErr w:type="spellStart"/>
      <w:r w:rsidRPr="00C27A37">
        <w:rPr>
          <w:rFonts w:eastAsia="Arial Unicode MS"/>
          <w:sz w:val="16"/>
          <w:szCs w:val="16"/>
          <w14:textOutline w14:w="0" w14:cap="flat" w14:cmpd="sng" w14:algn="ctr">
            <w14:noFill/>
            <w14:prstDash w14:val="solid"/>
            <w14:bevel/>
          </w14:textOutline>
        </w:rPr>
        <w:t>Drumm</w:t>
      </w:r>
      <w:proofErr w:type="spellEnd"/>
      <w:r w:rsidRPr="00C27A37">
        <w:rPr>
          <w:rFonts w:eastAsia="Arial Unicode MS"/>
          <w:sz w:val="16"/>
          <w:szCs w:val="16"/>
          <w14:textOutline w14:w="0" w14:cap="flat" w14:cmpd="sng" w14:algn="ctr">
            <w14:noFill/>
            <w14:prstDash w14:val="solid"/>
            <w14:bevel/>
          </w14:textOutline>
        </w:rPr>
        <w:t xml:space="preserve"> ML. Genetic influences on cystic fibrosis lung disease severity. Front </w:t>
      </w:r>
      <w:proofErr w:type="spellStart"/>
      <w:r w:rsidRPr="00C27A37">
        <w:rPr>
          <w:rFonts w:eastAsia="Arial Unicode MS"/>
          <w:sz w:val="16"/>
          <w:szCs w:val="16"/>
          <w14:textOutline w14:w="0" w14:cap="flat" w14:cmpd="sng" w14:algn="ctr">
            <w14:noFill/>
            <w14:prstDash w14:val="solid"/>
            <w14:bevel/>
          </w14:textOutline>
        </w:rPr>
        <w:t>Pharmacol</w:t>
      </w:r>
      <w:proofErr w:type="spellEnd"/>
      <w:r w:rsidRPr="00C27A37">
        <w:rPr>
          <w:rFonts w:eastAsia="Arial Unicode MS"/>
          <w:sz w:val="16"/>
          <w:szCs w:val="16"/>
          <w14:textOutline w14:w="0" w14:cap="flat" w14:cmpd="sng" w14:algn="ctr">
            <w14:noFill/>
            <w14:prstDash w14:val="solid"/>
            <w14:bevel/>
          </w14:textOutline>
        </w:rPr>
        <w:t>. 2013;4:1-19.</w:t>
      </w:r>
      <w:r w:rsidRPr="00C27A37">
        <w:rPr>
          <w:rFonts w:eastAsia="Arial Unicode MS" w:hint="cs"/>
          <w:sz w:val="16"/>
          <w:szCs w:val="16"/>
          <w:rtl/>
          <w14:textOutline w14:w="0" w14:cap="flat" w14:cmpd="sng" w14:algn="ctr">
            <w14:noFill/>
            <w14:prstDash w14:val="solid"/>
            <w14:bevel/>
          </w14:textOutline>
        </w:rPr>
        <w:t xml:space="preserve"> </w:t>
      </w:r>
      <w:hyperlink r:id="rId31" w:history="1">
        <w:r w:rsidRPr="00C27A37">
          <w:rPr>
            <w:rStyle w:val="Hyperlink"/>
            <w:rFonts w:eastAsia="Arial Unicode MS"/>
            <w:sz w:val="16"/>
            <w:szCs w:val="16"/>
            <w14:textOutline w14:w="0" w14:cap="flat" w14:cmpd="sng" w14:algn="ctr">
              <w14:noFill/>
              <w14:prstDash w14:val="solid"/>
              <w14:bevel/>
            </w14:textOutline>
          </w:rPr>
          <w:t>https://doi.org/10.3389/fphar.2013.00040</w:t>
        </w:r>
      </w:hyperlink>
      <w:r w:rsidRPr="00C27A37">
        <w:rPr>
          <w:rFonts w:eastAsia="Arial Unicode MS" w:hint="cs"/>
          <w:sz w:val="16"/>
          <w:szCs w:val="16"/>
          <w:rtl/>
          <w14:textOutline w14:w="0" w14:cap="flat" w14:cmpd="sng" w14:algn="ctr">
            <w14:noFill/>
            <w14:prstDash w14:val="solid"/>
            <w14:bevel/>
          </w14:textOutline>
        </w:rPr>
        <w:t xml:space="preserve"> </w:t>
      </w:r>
    </w:p>
    <w:p w14:paraId="106A5357" w14:textId="044CFB8D"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Strauss JF, Romero R, Gomez-Lopez N, </w:t>
      </w:r>
      <w:proofErr w:type="spellStart"/>
      <w:r w:rsidRPr="00C27A37">
        <w:rPr>
          <w:rFonts w:eastAsia="Arial Unicode MS"/>
          <w:sz w:val="16"/>
          <w:szCs w:val="16"/>
          <w14:textOutline w14:w="0" w14:cap="flat" w14:cmpd="sng" w14:algn="ctr">
            <w14:noFill/>
            <w14:prstDash w14:val="solid"/>
            <w14:bevel/>
          </w14:textOutline>
        </w:rPr>
        <w:t>Haymond</w:t>
      </w:r>
      <w:proofErr w:type="spellEnd"/>
      <w:r w:rsidRPr="00C27A37">
        <w:rPr>
          <w:rFonts w:eastAsia="Arial Unicode MS"/>
          <w:sz w:val="16"/>
          <w:szCs w:val="16"/>
          <w14:textOutline w14:w="0" w14:cap="flat" w14:cmpd="sng" w14:algn="ctr">
            <w14:noFill/>
            <w14:prstDash w14:val="solid"/>
            <w14:bevel/>
          </w14:textOutline>
        </w:rPr>
        <w:t xml:space="preserve">-Thornburg H, Modi BP, </w:t>
      </w:r>
      <w:proofErr w:type="spellStart"/>
      <w:r w:rsidRPr="00C27A37">
        <w:rPr>
          <w:rFonts w:eastAsia="Arial Unicode MS"/>
          <w:sz w:val="16"/>
          <w:szCs w:val="16"/>
          <w14:textOutline w14:w="0" w14:cap="flat" w14:cmpd="sng" w14:algn="ctr">
            <w14:noFill/>
            <w14:prstDash w14:val="solid"/>
            <w14:bevel/>
          </w14:textOutline>
        </w:rPr>
        <w:t>Teves</w:t>
      </w:r>
      <w:proofErr w:type="spellEnd"/>
      <w:r w:rsidRPr="00C27A37">
        <w:rPr>
          <w:rFonts w:eastAsia="Arial Unicode MS"/>
          <w:sz w:val="16"/>
          <w:szCs w:val="16"/>
          <w14:textOutline w14:w="0" w14:cap="flat" w14:cmpd="sng" w14:algn="ctr">
            <w14:noFill/>
            <w14:prstDash w14:val="solid"/>
            <w14:bevel/>
          </w14:textOutline>
        </w:rPr>
        <w:t xml:space="preserve"> ME, et al. Spontaneous Preterm Birth: Advances toward the Discovery of Genetic Predisposition. Am J </w:t>
      </w:r>
      <w:proofErr w:type="spellStart"/>
      <w:r w:rsidRPr="00C27A37">
        <w:rPr>
          <w:rFonts w:eastAsia="Arial Unicode MS"/>
          <w:sz w:val="16"/>
          <w:szCs w:val="16"/>
          <w14:textOutline w14:w="0" w14:cap="flat" w14:cmpd="sng" w14:algn="ctr">
            <w14:noFill/>
            <w14:prstDash w14:val="solid"/>
            <w14:bevel/>
          </w14:textOutline>
        </w:rPr>
        <w:t>Obstet</w:t>
      </w:r>
      <w:proofErr w:type="spellEnd"/>
      <w:r w:rsidRPr="00C27A37">
        <w:rPr>
          <w:rFonts w:eastAsia="Arial Unicode MS"/>
          <w:sz w:val="16"/>
          <w:szCs w:val="16"/>
          <w14:textOutline w14:w="0" w14:cap="flat" w14:cmpd="sng" w14:algn="ctr">
            <w14:noFill/>
            <w14:prstDash w14:val="solid"/>
            <w14:bevel/>
          </w14:textOutline>
        </w:rPr>
        <w:t xml:space="preserve"> Gynecol. 2018;218:294-314.</w:t>
      </w:r>
      <w:r w:rsidRPr="00C27A37">
        <w:rPr>
          <w:rFonts w:eastAsia="Arial Unicode MS" w:hint="cs"/>
          <w:sz w:val="16"/>
          <w:szCs w:val="16"/>
          <w:rtl/>
          <w14:textOutline w14:w="0" w14:cap="flat" w14:cmpd="sng" w14:algn="ctr">
            <w14:noFill/>
            <w14:prstDash w14:val="solid"/>
            <w14:bevel/>
          </w14:textOutline>
        </w:rPr>
        <w:t xml:space="preserve"> </w:t>
      </w:r>
      <w:hyperlink r:id="rId32" w:history="1">
        <w:r w:rsidRPr="00C27A37">
          <w:rPr>
            <w:rStyle w:val="Hyperlink"/>
            <w:rFonts w:eastAsia="Arial Unicode MS"/>
            <w:sz w:val="16"/>
            <w:szCs w:val="16"/>
            <w14:textOutline w14:w="0" w14:cap="flat" w14:cmpd="sng" w14:algn="ctr">
              <w14:noFill/>
              <w14:prstDash w14:val="solid"/>
              <w14:bevel/>
            </w14:textOutline>
          </w:rPr>
          <w:t>https://doi.org/10.1016/j.ajog.2017.12.009</w:t>
        </w:r>
      </w:hyperlink>
      <w:r w:rsidRPr="00C27A37">
        <w:rPr>
          <w:rFonts w:eastAsia="Arial Unicode MS" w:hint="cs"/>
          <w:sz w:val="16"/>
          <w:szCs w:val="16"/>
          <w:rtl/>
          <w14:textOutline w14:w="0" w14:cap="flat" w14:cmpd="sng" w14:algn="ctr">
            <w14:noFill/>
            <w14:prstDash w14:val="solid"/>
            <w14:bevel/>
          </w14:textOutline>
        </w:rPr>
        <w:t xml:space="preserve"> </w:t>
      </w:r>
    </w:p>
    <w:p w14:paraId="15568A03" w14:textId="5C6BDC71"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Weaver CA. Candidate Gene Analysis of 3D Dental Phenotypes in Patients with Malocclusion. University of Iowa; 2014.</w:t>
      </w:r>
    </w:p>
    <w:p w14:paraId="34366089" w14:textId="1F51FC1D"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Little J, Higgins JPT, Ioannidis JPA, Moher D, Gagnon F, Elm EV, et al. </w:t>
      </w:r>
      <w:proofErr w:type="spellStart"/>
      <w:r w:rsidRPr="00C27A37">
        <w:rPr>
          <w:rFonts w:eastAsia="Arial Unicode MS"/>
          <w:sz w:val="16"/>
          <w:szCs w:val="16"/>
          <w14:textOutline w14:w="0" w14:cap="flat" w14:cmpd="sng" w14:algn="ctr">
            <w14:noFill/>
            <w14:prstDash w14:val="solid"/>
            <w14:bevel/>
          </w14:textOutline>
        </w:rPr>
        <w:t>STrengthening</w:t>
      </w:r>
      <w:proofErr w:type="spellEnd"/>
      <w:r w:rsidRPr="00C27A37">
        <w:rPr>
          <w:rFonts w:eastAsia="Arial Unicode MS"/>
          <w:sz w:val="16"/>
          <w:szCs w:val="16"/>
          <w14:textOutline w14:w="0" w14:cap="flat" w14:cmpd="sng" w14:algn="ctr">
            <w14:noFill/>
            <w14:prstDash w14:val="solid"/>
            <w14:bevel/>
          </w14:textOutline>
        </w:rPr>
        <w:t xml:space="preserve"> the </w:t>
      </w:r>
      <w:proofErr w:type="spellStart"/>
      <w:r w:rsidRPr="00C27A37">
        <w:rPr>
          <w:rFonts w:eastAsia="Arial Unicode MS"/>
          <w:sz w:val="16"/>
          <w:szCs w:val="16"/>
          <w14:textOutline w14:w="0" w14:cap="flat" w14:cmpd="sng" w14:algn="ctr">
            <w14:noFill/>
            <w14:prstDash w14:val="solid"/>
            <w14:bevel/>
          </w14:textOutline>
        </w:rPr>
        <w:t>REporting</w:t>
      </w:r>
      <w:proofErr w:type="spellEnd"/>
      <w:r w:rsidRPr="00C27A37">
        <w:rPr>
          <w:rFonts w:eastAsia="Arial Unicode MS"/>
          <w:sz w:val="16"/>
          <w:szCs w:val="16"/>
          <w14:textOutline w14:w="0" w14:cap="flat" w14:cmpd="sng" w14:algn="ctr">
            <w14:noFill/>
            <w14:prstDash w14:val="solid"/>
            <w14:bevel/>
          </w14:textOutline>
        </w:rPr>
        <w:t xml:space="preserve"> of genetic association studies (STREGA)- An extension of the STROBE statement. Genet Epidemiol. 2009;33:581-98.</w:t>
      </w:r>
      <w:r w:rsidRPr="00C27A37">
        <w:rPr>
          <w:rFonts w:eastAsia="Arial Unicode MS" w:hint="cs"/>
          <w:sz w:val="16"/>
          <w:szCs w:val="16"/>
          <w:rtl/>
          <w14:textOutline w14:w="0" w14:cap="flat" w14:cmpd="sng" w14:algn="ctr">
            <w14:noFill/>
            <w14:prstDash w14:val="solid"/>
            <w14:bevel/>
          </w14:textOutline>
        </w:rPr>
        <w:t xml:space="preserve"> </w:t>
      </w:r>
      <w:hyperlink r:id="rId33" w:history="1">
        <w:r w:rsidRPr="00C27A37">
          <w:rPr>
            <w:rStyle w:val="Hyperlink"/>
            <w:rFonts w:eastAsia="Arial Unicode MS"/>
            <w:sz w:val="16"/>
            <w:szCs w:val="16"/>
            <w14:textOutline w14:w="0" w14:cap="flat" w14:cmpd="sng" w14:algn="ctr">
              <w14:noFill/>
              <w14:prstDash w14:val="solid"/>
              <w14:bevel/>
            </w14:textOutline>
          </w:rPr>
          <w:t>https://doi.org/10.1002/gepi.20410</w:t>
        </w:r>
      </w:hyperlink>
      <w:r w:rsidRPr="00C27A37">
        <w:rPr>
          <w:rFonts w:eastAsia="Arial Unicode MS" w:hint="cs"/>
          <w:sz w:val="16"/>
          <w:szCs w:val="16"/>
          <w:rtl/>
          <w14:textOutline w14:w="0" w14:cap="flat" w14:cmpd="sng" w14:algn="ctr">
            <w14:noFill/>
            <w14:prstDash w14:val="solid"/>
            <w14:bevel/>
          </w14:textOutline>
        </w:rPr>
        <w:t xml:space="preserve"> </w:t>
      </w:r>
    </w:p>
    <w:p w14:paraId="2CAF8940" w14:textId="02548012"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lastRenderedPageBreak/>
        <w:t xml:space="preserve">Steiner CC. </w:t>
      </w:r>
      <w:proofErr w:type="spellStart"/>
      <w:r w:rsidRPr="00C27A37">
        <w:rPr>
          <w:rFonts w:eastAsia="Arial Unicode MS"/>
          <w:sz w:val="16"/>
          <w:szCs w:val="16"/>
          <w14:textOutline w14:w="0" w14:cap="flat" w14:cmpd="sng" w14:algn="ctr">
            <w14:noFill/>
            <w14:prstDash w14:val="solid"/>
            <w14:bevel/>
          </w14:textOutline>
        </w:rPr>
        <w:t>Cephalometrics</w:t>
      </w:r>
      <w:proofErr w:type="spellEnd"/>
      <w:r w:rsidRPr="00C27A37">
        <w:rPr>
          <w:rFonts w:eastAsia="Arial Unicode MS"/>
          <w:sz w:val="16"/>
          <w:szCs w:val="16"/>
          <w14:textOutline w14:w="0" w14:cap="flat" w14:cmpd="sng" w14:algn="ctr">
            <w14:noFill/>
            <w14:prstDash w14:val="solid"/>
            <w14:bevel/>
          </w14:textOutline>
        </w:rPr>
        <w:t xml:space="preserve"> for you and me. Am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1953;39:729-55.</w:t>
      </w:r>
      <w:r w:rsidR="00C27A37">
        <w:rPr>
          <w:rFonts w:eastAsia="Arial Unicode MS" w:hint="cs"/>
          <w:sz w:val="16"/>
          <w:szCs w:val="16"/>
          <w:rtl/>
          <w14:textOutline w14:w="0" w14:cap="flat" w14:cmpd="sng" w14:algn="ctr">
            <w14:noFill/>
            <w14:prstDash w14:val="solid"/>
            <w14:bevel/>
          </w14:textOutline>
        </w:rPr>
        <w:t xml:space="preserve"> </w:t>
      </w:r>
      <w:hyperlink r:id="rId34" w:history="1">
        <w:r w:rsidR="00C27A37" w:rsidRPr="002B0888">
          <w:rPr>
            <w:rStyle w:val="Hyperlink"/>
            <w:rFonts w:eastAsia="Arial Unicode MS"/>
            <w:sz w:val="16"/>
            <w:szCs w:val="16"/>
            <w14:textOutline w14:w="0" w14:cap="flat" w14:cmpd="sng" w14:algn="ctr">
              <w14:noFill/>
              <w14:prstDash w14:val="solid"/>
              <w14:bevel/>
            </w14:textOutline>
          </w:rPr>
          <w:t>https://doi.org/10.1016/0002-9416(53)90082-7</w:t>
        </w:r>
      </w:hyperlink>
      <w:r w:rsidRPr="00C27A37">
        <w:rPr>
          <w:rFonts w:eastAsia="Arial Unicode MS" w:hint="cs"/>
          <w:sz w:val="16"/>
          <w:szCs w:val="16"/>
          <w:rtl/>
          <w14:textOutline w14:w="0" w14:cap="flat" w14:cmpd="sng" w14:algn="ctr">
            <w14:noFill/>
            <w14:prstDash w14:val="solid"/>
            <w14:bevel/>
          </w14:textOutline>
        </w:rPr>
        <w:t xml:space="preserve"> </w:t>
      </w:r>
    </w:p>
    <w:p w14:paraId="54E3836B" w14:textId="6C475111"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Guo L, Feng Y, Guo HG, Liu BW, Zhang Y. Consequences of orthodontic treatment in malocclusion patients: Clinical and microbial effects in adults and children. BMC Oral Health. 2016;16:1-7.</w:t>
      </w:r>
      <w:r w:rsidR="00C27A37">
        <w:rPr>
          <w:rFonts w:eastAsia="Arial Unicode MS" w:hint="cs"/>
          <w:sz w:val="16"/>
          <w:szCs w:val="16"/>
          <w:rtl/>
          <w14:textOutline w14:w="0" w14:cap="flat" w14:cmpd="sng" w14:algn="ctr">
            <w14:noFill/>
            <w14:prstDash w14:val="solid"/>
            <w14:bevel/>
          </w14:textOutline>
        </w:rPr>
        <w:t xml:space="preserve"> </w:t>
      </w:r>
      <w:hyperlink r:id="rId35" w:history="1">
        <w:r w:rsidR="00C27A37" w:rsidRPr="002B0888">
          <w:rPr>
            <w:rStyle w:val="Hyperlink"/>
            <w:rFonts w:eastAsia="Arial Unicode MS"/>
            <w:sz w:val="16"/>
            <w:szCs w:val="16"/>
            <w14:textOutline w14:w="0" w14:cap="flat" w14:cmpd="sng" w14:algn="ctr">
              <w14:noFill/>
              <w14:prstDash w14:val="solid"/>
              <w14:bevel/>
            </w14:textOutline>
          </w:rPr>
          <w:t>https://doi.org/10.1186/s12903-016-0308-7</w:t>
        </w:r>
      </w:hyperlink>
      <w:r w:rsidRPr="00C27A37">
        <w:rPr>
          <w:rFonts w:eastAsia="Arial Unicode MS" w:hint="cs"/>
          <w:sz w:val="16"/>
          <w:szCs w:val="16"/>
          <w:rtl/>
          <w14:textOutline w14:w="0" w14:cap="flat" w14:cmpd="sng" w14:algn="ctr">
            <w14:noFill/>
            <w14:prstDash w14:val="solid"/>
            <w14:bevel/>
          </w14:textOutline>
        </w:rPr>
        <w:t xml:space="preserve"> </w:t>
      </w:r>
    </w:p>
    <w:p w14:paraId="4B75EF25" w14:textId="299C5748"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Saghiri</w:t>
      </w:r>
      <w:proofErr w:type="spellEnd"/>
      <w:r w:rsidRPr="00C27A37">
        <w:rPr>
          <w:rFonts w:eastAsia="Arial Unicode MS"/>
          <w:sz w:val="16"/>
          <w:szCs w:val="16"/>
          <w14:textOutline w14:w="0" w14:cap="flat" w14:cmpd="sng" w14:algn="ctr">
            <w14:noFill/>
            <w14:prstDash w14:val="solid"/>
            <w14:bevel/>
          </w14:textOutline>
        </w:rPr>
        <w:t xml:space="preserve"> MA, Eid J, Tang CK, </w:t>
      </w:r>
      <w:proofErr w:type="spellStart"/>
      <w:r w:rsidRPr="00C27A37">
        <w:rPr>
          <w:rFonts w:eastAsia="Arial Unicode MS"/>
          <w:sz w:val="16"/>
          <w:szCs w:val="16"/>
          <w14:textOutline w14:w="0" w14:cap="flat" w14:cmpd="sng" w14:algn="ctr">
            <w14:noFill/>
            <w14:prstDash w14:val="solid"/>
            <w14:bevel/>
          </w14:textOutline>
        </w:rPr>
        <w:t>Freag</w:t>
      </w:r>
      <w:proofErr w:type="spellEnd"/>
      <w:r w:rsidRPr="00C27A37">
        <w:rPr>
          <w:rFonts w:eastAsia="Arial Unicode MS"/>
          <w:sz w:val="16"/>
          <w:szCs w:val="16"/>
          <w14:textOutline w14:w="0" w14:cap="flat" w14:cmpd="sng" w14:algn="ctr">
            <w14:noFill/>
            <w14:prstDash w14:val="solid"/>
            <w14:bevel/>
          </w14:textOutline>
        </w:rPr>
        <w:t xml:space="preserve"> P. Factors influencing different types of malocclusion and arch form - A review. J </w:t>
      </w:r>
      <w:proofErr w:type="spellStart"/>
      <w:r w:rsidRPr="00C27A37">
        <w:rPr>
          <w:rFonts w:eastAsia="Arial Unicode MS"/>
          <w:sz w:val="16"/>
          <w:szCs w:val="16"/>
          <w14:textOutline w14:w="0" w14:cap="flat" w14:cmpd="sng" w14:algn="ctr">
            <w14:noFill/>
            <w14:prstDash w14:val="solid"/>
            <w14:bevel/>
          </w14:textOutline>
        </w:rPr>
        <w:t>Stomatol</w:t>
      </w:r>
      <w:proofErr w:type="spellEnd"/>
      <w:r w:rsidRPr="00C27A37">
        <w:rPr>
          <w:rFonts w:eastAsia="Arial Unicode MS"/>
          <w:sz w:val="16"/>
          <w:szCs w:val="16"/>
          <w14:textOutline w14:w="0" w14:cap="flat" w14:cmpd="sng" w14:algn="ctr">
            <w14:noFill/>
            <w14:prstDash w14:val="solid"/>
            <w14:bevel/>
          </w14:textOutline>
        </w:rPr>
        <w:t xml:space="preserve"> Oral </w:t>
      </w:r>
      <w:proofErr w:type="spellStart"/>
      <w:r w:rsidRPr="00C27A37">
        <w:rPr>
          <w:rFonts w:eastAsia="Arial Unicode MS"/>
          <w:sz w:val="16"/>
          <w:szCs w:val="16"/>
          <w14:textOutline w14:w="0" w14:cap="flat" w14:cmpd="sng" w14:algn="ctr">
            <w14:noFill/>
            <w14:prstDash w14:val="solid"/>
            <w14:bevel/>
          </w14:textOutline>
        </w:rPr>
        <w:t>Maxillofac</w:t>
      </w:r>
      <w:proofErr w:type="spellEnd"/>
      <w:r w:rsidRPr="00C27A37">
        <w:rPr>
          <w:rFonts w:eastAsia="Arial Unicode MS"/>
          <w:sz w:val="16"/>
          <w:szCs w:val="16"/>
          <w14:textOutline w14:w="0" w14:cap="flat" w14:cmpd="sng" w14:algn="ctr">
            <w14:noFill/>
            <w14:prstDash w14:val="solid"/>
            <w14:bevel/>
          </w14:textOutline>
        </w:rPr>
        <w:t xml:space="preserve"> Surg. 2021;122:185-91.</w:t>
      </w:r>
      <w:r w:rsidRPr="00C27A37">
        <w:rPr>
          <w:rFonts w:eastAsia="Arial Unicode MS" w:hint="cs"/>
          <w:sz w:val="16"/>
          <w:szCs w:val="16"/>
          <w:rtl/>
          <w14:textOutline w14:w="0" w14:cap="flat" w14:cmpd="sng" w14:algn="ctr">
            <w14:noFill/>
            <w14:prstDash w14:val="solid"/>
            <w14:bevel/>
          </w14:textOutline>
        </w:rPr>
        <w:t xml:space="preserve"> </w:t>
      </w:r>
      <w:hyperlink r:id="rId36" w:history="1">
        <w:r w:rsidRPr="00C27A37">
          <w:rPr>
            <w:rStyle w:val="Hyperlink"/>
            <w:rFonts w:eastAsia="Arial Unicode MS"/>
            <w:sz w:val="16"/>
            <w:szCs w:val="16"/>
            <w14:textOutline w14:w="0" w14:cap="flat" w14:cmpd="sng" w14:algn="ctr">
              <w14:noFill/>
              <w14:prstDash w14:val="solid"/>
              <w14:bevel/>
            </w14:textOutline>
          </w:rPr>
          <w:t>https://doi.org/10.1016/j.jormas.2020.07.002</w:t>
        </w:r>
      </w:hyperlink>
      <w:r w:rsidRPr="00C27A37">
        <w:rPr>
          <w:rFonts w:eastAsia="Arial Unicode MS" w:hint="cs"/>
          <w:sz w:val="16"/>
          <w:szCs w:val="16"/>
          <w:rtl/>
          <w14:textOutline w14:w="0" w14:cap="flat" w14:cmpd="sng" w14:algn="ctr">
            <w14:noFill/>
            <w14:prstDash w14:val="solid"/>
            <w14:bevel/>
          </w14:textOutline>
        </w:rPr>
        <w:t xml:space="preserve"> </w:t>
      </w:r>
    </w:p>
    <w:p w14:paraId="5EF8D63D" w14:textId="1165EFFA"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Heimer MV, </w:t>
      </w:r>
      <w:proofErr w:type="spellStart"/>
      <w:r w:rsidRPr="00C27A37">
        <w:rPr>
          <w:rFonts w:eastAsia="Arial Unicode MS"/>
          <w:sz w:val="16"/>
          <w:szCs w:val="16"/>
          <w14:textOutline w14:w="0" w14:cap="flat" w14:cmpd="sng" w14:algn="ctr">
            <w14:noFill/>
            <w14:prstDash w14:val="solid"/>
            <w14:bevel/>
          </w14:textOutline>
        </w:rPr>
        <w:t>Tornisiello</w:t>
      </w:r>
      <w:proofErr w:type="spellEnd"/>
      <w:r w:rsidRPr="00C27A37">
        <w:rPr>
          <w:rFonts w:eastAsia="Arial Unicode MS"/>
          <w:sz w:val="16"/>
          <w:szCs w:val="16"/>
          <w14:textOutline w14:w="0" w14:cap="flat" w14:cmpd="sng" w14:algn="ctr">
            <w14:noFill/>
            <w14:prstDash w14:val="solid"/>
            <w14:bevel/>
          </w14:textOutline>
        </w:rPr>
        <w:t xml:space="preserve"> Katz CR, Rosenblatt A. Non-nutritive sucking habits, dental malocclusions, and facial morphology in Brazilian children: A longitudinal study. Eur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2008;30:580-5.</w:t>
      </w:r>
      <w:r w:rsidRPr="00C27A37">
        <w:rPr>
          <w:rFonts w:eastAsia="Arial Unicode MS" w:hint="cs"/>
          <w:sz w:val="16"/>
          <w:szCs w:val="16"/>
          <w:rtl/>
          <w14:textOutline w14:w="0" w14:cap="flat" w14:cmpd="sng" w14:algn="ctr">
            <w14:noFill/>
            <w14:prstDash w14:val="solid"/>
            <w14:bevel/>
          </w14:textOutline>
        </w:rPr>
        <w:t xml:space="preserve"> </w:t>
      </w:r>
      <w:hyperlink r:id="rId37" w:history="1">
        <w:r w:rsidRPr="00C27A37">
          <w:rPr>
            <w:rStyle w:val="Hyperlink"/>
            <w:rFonts w:eastAsia="Arial Unicode MS"/>
            <w:sz w:val="16"/>
            <w:szCs w:val="16"/>
            <w14:textOutline w14:w="0" w14:cap="flat" w14:cmpd="sng" w14:algn="ctr">
              <w14:noFill/>
              <w14:prstDash w14:val="solid"/>
              <w14:bevel/>
            </w14:textOutline>
          </w:rPr>
          <w:t>https://doi.org/10.1093/ejo/cjn035</w:t>
        </w:r>
      </w:hyperlink>
      <w:r w:rsidRPr="00C27A37">
        <w:rPr>
          <w:rFonts w:eastAsia="Arial Unicode MS" w:hint="cs"/>
          <w:sz w:val="16"/>
          <w:szCs w:val="16"/>
          <w:rtl/>
          <w14:textOutline w14:w="0" w14:cap="flat" w14:cmpd="sng" w14:algn="ctr">
            <w14:noFill/>
            <w14:prstDash w14:val="solid"/>
            <w14:bevel/>
          </w14:textOutline>
        </w:rPr>
        <w:t xml:space="preserve"> </w:t>
      </w:r>
    </w:p>
    <w:p w14:paraId="511FF7F9" w14:textId="513ED8A6"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Björk A, </w:t>
      </w:r>
      <w:proofErr w:type="spellStart"/>
      <w:r w:rsidRPr="00C27A37">
        <w:rPr>
          <w:rFonts w:eastAsia="Arial Unicode MS"/>
          <w:sz w:val="16"/>
          <w:szCs w:val="16"/>
          <w14:textOutline w14:w="0" w14:cap="flat" w14:cmpd="sng" w14:algn="ctr">
            <w14:noFill/>
            <w14:prstDash w14:val="solid"/>
            <w14:bevel/>
          </w14:textOutline>
        </w:rPr>
        <w:t>Skieller</w:t>
      </w:r>
      <w:proofErr w:type="spellEnd"/>
      <w:r w:rsidRPr="00C27A37">
        <w:rPr>
          <w:rFonts w:eastAsia="Arial Unicode MS"/>
          <w:sz w:val="16"/>
          <w:szCs w:val="16"/>
          <w14:textOutline w14:w="0" w14:cap="flat" w14:cmpd="sng" w14:algn="ctr">
            <w14:noFill/>
            <w14:prstDash w14:val="solid"/>
            <w14:bevel/>
          </w14:textOutline>
        </w:rPr>
        <w:t xml:space="preserve"> V. 'Normal and abnormal growth of the mandible. A synthesis of longitudinal cephalometric implant studies over a period of 25 years', Eur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1983;5:1-46.</w:t>
      </w:r>
      <w:r w:rsidRPr="00C27A37">
        <w:rPr>
          <w:rFonts w:eastAsia="Arial Unicode MS" w:hint="cs"/>
          <w:sz w:val="16"/>
          <w:szCs w:val="16"/>
          <w:rtl/>
          <w14:textOutline w14:w="0" w14:cap="flat" w14:cmpd="sng" w14:algn="ctr">
            <w14:noFill/>
            <w14:prstDash w14:val="solid"/>
            <w14:bevel/>
          </w14:textOutline>
        </w:rPr>
        <w:t xml:space="preserve"> </w:t>
      </w:r>
      <w:hyperlink r:id="rId38" w:history="1">
        <w:r w:rsidRPr="00C27A37">
          <w:rPr>
            <w:rStyle w:val="Hyperlink"/>
            <w:rFonts w:eastAsia="Arial Unicode MS"/>
            <w:sz w:val="16"/>
            <w:szCs w:val="16"/>
            <w14:textOutline w14:w="0" w14:cap="flat" w14:cmpd="sng" w14:algn="ctr">
              <w14:noFill/>
              <w14:prstDash w14:val="solid"/>
              <w14:bevel/>
            </w14:textOutline>
          </w:rPr>
          <w:t>https://doi.org/10.1093/ejo/5.1.1</w:t>
        </w:r>
      </w:hyperlink>
      <w:r w:rsidRPr="00C27A37">
        <w:rPr>
          <w:rFonts w:eastAsia="Arial Unicode MS" w:hint="cs"/>
          <w:sz w:val="16"/>
          <w:szCs w:val="16"/>
          <w:rtl/>
          <w14:textOutline w14:w="0" w14:cap="flat" w14:cmpd="sng" w14:algn="ctr">
            <w14:noFill/>
            <w14:prstDash w14:val="solid"/>
            <w14:bevel/>
          </w14:textOutline>
        </w:rPr>
        <w:t xml:space="preserve"> </w:t>
      </w:r>
    </w:p>
    <w:p w14:paraId="3C8FD7F7" w14:textId="18FA83A2"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Liu H, Wu C, Lin J, Shao J, Chen Q, Luo E. Genetic etiology in </w:t>
      </w:r>
      <w:proofErr w:type="spellStart"/>
      <w:r w:rsidRPr="00C27A37">
        <w:rPr>
          <w:rFonts w:eastAsia="Arial Unicode MS"/>
          <w:sz w:val="16"/>
          <w:szCs w:val="16"/>
          <w14:textOutline w14:w="0" w14:cap="flat" w14:cmpd="sng" w14:algn="ctr">
            <w14:noFill/>
            <w14:prstDash w14:val="solid"/>
            <w14:bevel/>
          </w14:textOutline>
        </w:rPr>
        <w:t>nonsyndromic</w:t>
      </w:r>
      <w:proofErr w:type="spellEnd"/>
      <w:r w:rsidRPr="00C27A37">
        <w:rPr>
          <w:rFonts w:eastAsia="Arial Unicode MS"/>
          <w:sz w:val="16"/>
          <w:szCs w:val="16"/>
          <w14:textOutline w14:w="0" w14:cap="flat" w14:cmpd="sng" w14:algn="ctr">
            <w14:noFill/>
            <w14:prstDash w14:val="solid"/>
            <w14:bevel/>
          </w14:textOutline>
        </w:rPr>
        <w:t xml:space="preserve"> mandibular prognathism. J </w:t>
      </w:r>
      <w:proofErr w:type="spellStart"/>
      <w:r w:rsidRPr="00C27A37">
        <w:rPr>
          <w:rFonts w:eastAsia="Arial Unicode MS"/>
          <w:sz w:val="16"/>
          <w:szCs w:val="16"/>
          <w14:textOutline w14:w="0" w14:cap="flat" w14:cmpd="sng" w14:algn="ctr">
            <w14:noFill/>
            <w14:prstDash w14:val="solid"/>
            <w14:bevel/>
          </w14:textOutline>
        </w:rPr>
        <w:t>Craniofac</w:t>
      </w:r>
      <w:proofErr w:type="spellEnd"/>
      <w:r w:rsidRPr="00C27A37">
        <w:rPr>
          <w:rFonts w:eastAsia="Arial Unicode MS"/>
          <w:sz w:val="16"/>
          <w:szCs w:val="16"/>
          <w14:textOutline w14:w="0" w14:cap="flat" w14:cmpd="sng" w14:algn="ctr">
            <w14:noFill/>
            <w14:prstDash w14:val="solid"/>
            <w14:bevel/>
          </w14:textOutline>
        </w:rPr>
        <w:t xml:space="preserve"> Surg. 2017;28:161- 69.</w:t>
      </w:r>
      <w:r w:rsidRPr="00C27A37">
        <w:rPr>
          <w:rFonts w:eastAsia="Arial Unicode MS" w:hint="cs"/>
          <w:sz w:val="16"/>
          <w:szCs w:val="16"/>
          <w:rtl/>
          <w14:textOutline w14:w="0" w14:cap="flat" w14:cmpd="sng" w14:algn="ctr">
            <w14:noFill/>
            <w14:prstDash w14:val="solid"/>
            <w14:bevel/>
          </w14:textOutline>
        </w:rPr>
        <w:t xml:space="preserve"> </w:t>
      </w:r>
      <w:hyperlink r:id="rId39" w:history="1">
        <w:r w:rsidRPr="00C27A37">
          <w:rPr>
            <w:rStyle w:val="Hyperlink"/>
            <w:rFonts w:eastAsia="Arial Unicode MS"/>
            <w:sz w:val="16"/>
            <w:szCs w:val="16"/>
            <w14:textOutline w14:w="0" w14:cap="flat" w14:cmpd="sng" w14:algn="ctr">
              <w14:noFill/>
              <w14:prstDash w14:val="solid"/>
              <w14:bevel/>
            </w14:textOutline>
          </w:rPr>
          <w:t>https://doi.org/10.1097/SCS.0000000000003287</w:t>
        </w:r>
      </w:hyperlink>
      <w:r w:rsidRPr="00C27A37">
        <w:rPr>
          <w:rFonts w:eastAsia="Arial Unicode MS" w:hint="cs"/>
          <w:sz w:val="16"/>
          <w:szCs w:val="16"/>
          <w:rtl/>
          <w14:textOutline w14:w="0" w14:cap="flat" w14:cmpd="sng" w14:algn="ctr">
            <w14:noFill/>
            <w14:prstDash w14:val="solid"/>
            <w14:bevel/>
          </w14:textOutline>
        </w:rPr>
        <w:t xml:space="preserve"> </w:t>
      </w:r>
    </w:p>
    <w:p w14:paraId="620464F0" w14:textId="7432785F"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Cunha A, Nelson-Filho P, </w:t>
      </w:r>
      <w:proofErr w:type="spellStart"/>
      <w:r w:rsidRPr="00C27A37">
        <w:rPr>
          <w:rFonts w:eastAsia="Arial Unicode MS"/>
          <w:sz w:val="16"/>
          <w:szCs w:val="16"/>
          <w14:textOutline w14:w="0" w14:cap="flat" w14:cmpd="sng" w14:algn="ctr">
            <w14:noFill/>
            <w14:prstDash w14:val="solid"/>
            <w14:bevel/>
          </w14:textOutline>
        </w:rPr>
        <w:t>Marañón</w:t>
      </w:r>
      <w:proofErr w:type="spellEnd"/>
      <w:r w:rsidRPr="00C27A37">
        <w:rPr>
          <w:rFonts w:eastAsia="Arial Unicode MS"/>
          <w:sz w:val="16"/>
          <w:szCs w:val="16"/>
          <w14:textOutline w14:w="0" w14:cap="flat" w14:cmpd="sng" w14:algn="ctr">
            <w14:noFill/>
            <w14:prstDash w14:val="solid"/>
            <w14:bevel/>
          </w14:textOutline>
        </w:rPr>
        <w:t xml:space="preserve">-Vásquez GA, Ramos AGC, </w:t>
      </w:r>
      <w:proofErr w:type="spellStart"/>
      <w:r w:rsidRPr="00C27A37">
        <w:rPr>
          <w:rFonts w:eastAsia="Arial Unicode MS"/>
          <w:sz w:val="16"/>
          <w:szCs w:val="16"/>
          <w14:textOutline w14:w="0" w14:cap="flat" w14:cmpd="sng" w14:algn="ctr">
            <w14:noFill/>
            <w14:prstDash w14:val="solid"/>
            <w14:bevel/>
          </w14:textOutline>
        </w:rPr>
        <w:t>Dantas</w:t>
      </w:r>
      <w:proofErr w:type="spellEnd"/>
      <w:r w:rsidRPr="00C27A37">
        <w:rPr>
          <w:rFonts w:eastAsia="Arial Unicode MS"/>
          <w:sz w:val="16"/>
          <w:szCs w:val="16"/>
          <w14:textOutline w14:w="0" w14:cap="flat" w14:cmpd="sng" w14:algn="ctr">
            <w14:noFill/>
            <w14:prstDash w14:val="solid"/>
            <w14:bevel/>
          </w14:textOutline>
        </w:rPr>
        <w:t xml:space="preserve"> B, </w:t>
      </w:r>
      <w:proofErr w:type="spellStart"/>
      <w:r w:rsidRPr="00C27A37">
        <w:rPr>
          <w:rFonts w:eastAsia="Arial Unicode MS"/>
          <w:sz w:val="16"/>
          <w:szCs w:val="16"/>
          <w14:textOutline w14:w="0" w14:cap="flat" w14:cmpd="sng" w14:algn="ctr">
            <w14:noFill/>
            <w14:prstDash w14:val="solid"/>
            <w14:bevel/>
          </w14:textOutline>
        </w:rPr>
        <w:t>Sebastiani</w:t>
      </w:r>
      <w:proofErr w:type="spellEnd"/>
      <w:r w:rsidRPr="00C27A37">
        <w:rPr>
          <w:rFonts w:eastAsia="Arial Unicode MS"/>
          <w:sz w:val="16"/>
          <w:szCs w:val="16"/>
          <w14:textOutline w14:w="0" w14:cap="flat" w14:cmpd="sng" w14:algn="ctr">
            <w14:noFill/>
            <w14:prstDash w14:val="solid"/>
            <w14:bevel/>
          </w14:textOutline>
        </w:rPr>
        <w:t xml:space="preserve"> AM, et al. Genetic variants in ACTN3 and MYO1H are associated with sagittal and vertical craniofacial skeletal patterns. Arch Oral Biol. 2019;97:85-90.</w:t>
      </w:r>
      <w:r w:rsidRPr="00C27A37">
        <w:rPr>
          <w:rFonts w:eastAsia="Arial Unicode MS" w:hint="cs"/>
          <w:sz w:val="16"/>
          <w:szCs w:val="16"/>
          <w:rtl/>
          <w14:textOutline w14:w="0" w14:cap="flat" w14:cmpd="sng" w14:algn="ctr">
            <w14:noFill/>
            <w14:prstDash w14:val="solid"/>
            <w14:bevel/>
          </w14:textOutline>
        </w:rPr>
        <w:t xml:space="preserve"> </w:t>
      </w:r>
      <w:hyperlink r:id="rId40" w:history="1">
        <w:r w:rsidRPr="00C27A37">
          <w:rPr>
            <w:rStyle w:val="Hyperlink"/>
            <w:rFonts w:eastAsia="Arial Unicode MS"/>
            <w:sz w:val="16"/>
            <w:szCs w:val="16"/>
            <w14:textOutline w14:w="0" w14:cap="flat" w14:cmpd="sng" w14:algn="ctr">
              <w14:noFill/>
              <w14:prstDash w14:val="solid"/>
              <w14:bevel/>
            </w14:textOutline>
          </w:rPr>
          <w:t>https://doi.org/10.1016/j.archoralbio.2018.09.018</w:t>
        </w:r>
      </w:hyperlink>
      <w:r w:rsidRPr="00C27A37">
        <w:rPr>
          <w:rFonts w:eastAsia="Arial Unicode MS" w:hint="cs"/>
          <w:sz w:val="16"/>
          <w:szCs w:val="16"/>
          <w:rtl/>
          <w14:textOutline w14:w="0" w14:cap="flat" w14:cmpd="sng" w14:algn="ctr">
            <w14:noFill/>
            <w14:prstDash w14:val="solid"/>
            <w14:bevel/>
          </w14:textOutline>
        </w:rPr>
        <w:t xml:space="preserve"> </w:t>
      </w:r>
    </w:p>
    <w:p w14:paraId="5B349145" w14:textId="0FF5DFD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Da </w:t>
      </w:r>
      <w:proofErr w:type="spellStart"/>
      <w:r w:rsidRPr="00C27A37">
        <w:rPr>
          <w:rFonts w:eastAsia="Arial Unicode MS"/>
          <w:sz w:val="16"/>
          <w:szCs w:val="16"/>
          <w14:textOutline w14:w="0" w14:cap="flat" w14:cmpd="sng" w14:algn="ctr">
            <w14:noFill/>
            <w14:prstDash w14:val="solid"/>
            <w14:bevel/>
          </w14:textOutline>
        </w:rPr>
        <w:t>Fontoura</w:t>
      </w:r>
      <w:proofErr w:type="spellEnd"/>
      <w:r w:rsidRPr="00C27A37">
        <w:rPr>
          <w:rFonts w:eastAsia="Arial Unicode MS"/>
          <w:sz w:val="16"/>
          <w:szCs w:val="16"/>
          <w14:textOutline w14:w="0" w14:cap="flat" w14:cmpd="sng" w14:algn="ctr">
            <w14:noFill/>
            <w14:prstDash w14:val="solid"/>
            <w14:bevel/>
          </w14:textOutline>
        </w:rPr>
        <w:t xml:space="preserve"> CSG, Miller SF, </w:t>
      </w:r>
      <w:proofErr w:type="spellStart"/>
      <w:r w:rsidRPr="00C27A37">
        <w:rPr>
          <w:rFonts w:eastAsia="Arial Unicode MS"/>
          <w:sz w:val="16"/>
          <w:szCs w:val="16"/>
          <w14:textOutline w14:w="0" w14:cap="flat" w14:cmpd="sng" w14:algn="ctr">
            <w14:noFill/>
            <w14:prstDash w14:val="solid"/>
            <w14:bevel/>
          </w14:textOutline>
        </w:rPr>
        <w:t>Wehby</w:t>
      </w:r>
      <w:proofErr w:type="spellEnd"/>
      <w:r w:rsidRPr="00C27A37">
        <w:rPr>
          <w:rFonts w:eastAsia="Arial Unicode MS"/>
          <w:sz w:val="16"/>
          <w:szCs w:val="16"/>
          <w14:textOutline w14:w="0" w14:cap="flat" w14:cmpd="sng" w14:algn="ctr">
            <w14:noFill/>
            <w14:prstDash w14:val="solid"/>
            <w14:bevel/>
          </w14:textOutline>
        </w:rPr>
        <w:t xml:space="preserve"> GL, </w:t>
      </w:r>
      <w:proofErr w:type="spellStart"/>
      <w:r w:rsidRPr="00C27A37">
        <w:rPr>
          <w:rFonts w:eastAsia="Arial Unicode MS"/>
          <w:sz w:val="16"/>
          <w:szCs w:val="16"/>
          <w14:textOutline w14:w="0" w14:cap="flat" w14:cmpd="sng" w14:algn="ctr">
            <w14:noFill/>
            <w14:prstDash w14:val="solid"/>
            <w14:bevel/>
          </w14:textOutline>
        </w:rPr>
        <w:t>Amendt</w:t>
      </w:r>
      <w:proofErr w:type="spellEnd"/>
      <w:r w:rsidRPr="00C27A37">
        <w:rPr>
          <w:rFonts w:eastAsia="Arial Unicode MS"/>
          <w:sz w:val="16"/>
          <w:szCs w:val="16"/>
          <w14:textOutline w14:w="0" w14:cap="flat" w14:cmpd="sng" w14:algn="ctr">
            <w14:noFill/>
            <w14:prstDash w14:val="solid"/>
            <w14:bevel/>
          </w14:textOutline>
        </w:rPr>
        <w:t xml:space="preserve"> BA, </w:t>
      </w:r>
      <w:proofErr w:type="spellStart"/>
      <w:r w:rsidRPr="00C27A37">
        <w:rPr>
          <w:rFonts w:eastAsia="Arial Unicode MS"/>
          <w:sz w:val="16"/>
          <w:szCs w:val="16"/>
          <w14:textOutline w14:w="0" w14:cap="flat" w14:cmpd="sng" w14:algn="ctr">
            <w14:noFill/>
            <w14:prstDash w14:val="solid"/>
            <w14:bevel/>
          </w14:textOutline>
        </w:rPr>
        <w:t>HoltonNE</w:t>
      </w:r>
      <w:proofErr w:type="spellEnd"/>
      <w:r w:rsidRPr="00C27A37">
        <w:rPr>
          <w:rFonts w:eastAsia="Arial Unicode MS"/>
          <w:sz w:val="16"/>
          <w:szCs w:val="16"/>
          <w14:textOutline w14:w="0" w14:cap="flat" w14:cmpd="sng" w14:algn="ctr">
            <w14:noFill/>
            <w14:prstDash w14:val="solid"/>
            <w14:bevel/>
          </w14:textOutline>
        </w:rPr>
        <w:t>, Southard TE, et al. Candidate gene analyses of skeletal variation in malocclusion. J Dent Res. 2015;94:913-20.</w:t>
      </w:r>
      <w:r w:rsidRPr="00C27A37">
        <w:rPr>
          <w:rFonts w:eastAsia="Arial Unicode MS" w:hint="cs"/>
          <w:sz w:val="16"/>
          <w:szCs w:val="16"/>
          <w:rtl/>
          <w14:textOutline w14:w="0" w14:cap="flat" w14:cmpd="sng" w14:algn="ctr">
            <w14:noFill/>
            <w14:prstDash w14:val="solid"/>
            <w14:bevel/>
          </w14:textOutline>
        </w:rPr>
        <w:t xml:space="preserve"> </w:t>
      </w:r>
      <w:r w:rsidR="00C27A37">
        <w:rPr>
          <w:rFonts w:eastAsia="Arial Unicode MS" w:hint="cs"/>
          <w:sz w:val="16"/>
          <w:szCs w:val="16"/>
          <w:rtl/>
          <w14:textOutline w14:w="0" w14:cap="flat" w14:cmpd="sng" w14:algn="ctr">
            <w14:noFill/>
            <w14:prstDash w14:val="solid"/>
            <w14:bevel/>
          </w14:textOutline>
        </w:rPr>
        <w:t xml:space="preserve"> </w:t>
      </w:r>
      <w:hyperlink r:id="rId41" w:history="1">
        <w:r w:rsidR="00C27A37" w:rsidRPr="002B0888">
          <w:rPr>
            <w:rStyle w:val="Hyperlink"/>
            <w:rFonts w:eastAsia="Arial Unicode MS"/>
            <w:sz w:val="16"/>
            <w:szCs w:val="16"/>
            <w14:textOutline w14:w="0" w14:cap="flat" w14:cmpd="sng" w14:algn="ctr">
              <w14:noFill/>
              <w14:prstDash w14:val="solid"/>
              <w14:bevel/>
            </w14:textOutline>
          </w:rPr>
          <w:t>https://doi.org/10.1177/0022034515581643</w:t>
        </w:r>
      </w:hyperlink>
      <w:r w:rsidRPr="00C27A37">
        <w:rPr>
          <w:rFonts w:eastAsia="Arial Unicode MS" w:hint="cs"/>
          <w:sz w:val="16"/>
          <w:szCs w:val="16"/>
          <w:rtl/>
          <w14:textOutline w14:w="0" w14:cap="flat" w14:cmpd="sng" w14:algn="ctr">
            <w14:noFill/>
            <w14:prstDash w14:val="solid"/>
            <w14:bevel/>
          </w14:textOutline>
        </w:rPr>
        <w:t xml:space="preserve"> </w:t>
      </w:r>
    </w:p>
    <w:p w14:paraId="1CB84574" w14:textId="0443A99E"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Ardani</w:t>
      </w:r>
      <w:proofErr w:type="spellEnd"/>
      <w:r w:rsidRPr="00C27A37">
        <w:rPr>
          <w:rFonts w:eastAsia="Arial Unicode MS"/>
          <w:sz w:val="16"/>
          <w:szCs w:val="16"/>
          <w14:textOutline w14:w="0" w14:cap="flat" w14:cmpd="sng" w14:algn="ctr">
            <w14:noFill/>
            <w14:prstDash w14:val="solid"/>
            <w14:bevel/>
          </w14:textOutline>
        </w:rPr>
        <w:t xml:space="preserve"> IGAW, </w:t>
      </w:r>
      <w:proofErr w:type="spellStart"/>
      <w:r w:rsidRPr="00C27A37">
        <w:rPr>
          <w:rFonts w:eastAsia="Arial Unicode MS"/>
          <w:sz w:val="16"/>
          <w:szCs w:val="16"/>
          <w14:textOutline w14:w="0" w14:cap="flat" w14:cmpd="sng" w14:algn="ctr">
            <w14:noFill/>
            <w14:prstDash w14:val="solid"/>
            <w14:bevel/>
          </w14:textOutline>
        </w:rPr>
        <w:t>Budipramana</w:t>
      </w:r>
      <w:proofErr w:type="spellEnd"/>
      <w:r w:rsidRPr="00C27A37">
        <w:rPr>
          <w:rFonts w:eastAsia="Arial Unicode MS"/>
          <w:sz w:val="16"/>
          <w:szCs w:val="16"/>
          <w14:textOutline w14:w="0" w14:cap="flat" w14:cmpd="sng" w14:algn="ctr">
            <w14:noFill/>
            <w14:prstDash w14:val="solid"/>
            <w14:bevel/>
          </w14:textOutline>
        </w:rPr>
        <w:t xml:space="preserve"> M, </w:t>
      </w:r>
      <w:proofErr w:type="spellStart"/>
      <w:r w:rsidRPr="00C27A37">
        <w:rPr>
          <w:rFonts w:eastAsia="Arial Unicode MS"/>
          <w:sz w:val="16"/>
          <w:szCs w:val="16"/>
          <w14:textOutline w14:w="0" w14:cap="flat" w14:cmpd="sng" w14:algn="ctr">
            <w14:noFill/>
            <w14:prstDash w14:val="solid"/>
            <w14:bevel/>
          </w14:textOutline>
        </w:rPr>
        <w:t>Rachmawati</w:t>
      </w:r>
      <w:proofErr w:type="spellEnd"/>
      <w:r w:rsidRPr="00C27A37">
        <w:rPr>
          <w:rFonts w:eastAsia="Arial Unicode MS"/>
          <w:sz w:val="16"/>
          <w:szCs w:val="16"/>
          <w14:textOutline w14:w="0" w14:cap="flat" w14:cmpd="sng" w14:algn="ctr">
            <w14:noFill/>
            <w14:prstDash w14:val="solid"/>
            <w14:bevel/>
          </w14:textOutline>
        </w:rPr>
        <w:t xml:space="preserve"> E, </w:t>
      </w:r>
      <w:proofErr w:type="spellStart"/>
      <w:r w:rsidRPr="00C27A37">
        <w:rPr>
          <w:rFonts w:eastAsia="Arial Unicode MS"/>
          <w:sz w:val="16"/>
          <w:szCs w:val="16"/>
          <w14:textOutline w14:w="0" w14:cap="flat" w14:cmpd="sng" w14:algn="ctr">
            <w14:noFill/>
            <w14:prstDash w14:val="solid"/>
            <w14:bevel/>
          </w14:textOutline>
        </w:rPr>
        <w:t>Nugraha</w:t>
      </w:r>
      <w:proofErr w:type="spellEnd"/>
      <w:r w:rsidRPr="00C27A37">
        <w:rPr>
          <w:rFonts w:eastAsia="Arial Unicode MS"/>
          <w:sz w:val="16"/>
          <w:szCs w:val="16"/>
          <w14:textOutline w14:w="0" w14:cap="flat" w14:cmpd="sng" w14:algn="ctr">
            <w14:noFill/>
            <w14:prstDash w14:val="solid"/>
            <w14:bevel/>
          </w14:textOutline>
        </w:rPr>
        <w:t xml:space="preserve"> AP, </w:t>
      </w:r>
      <w:proofErr w:type="spellStart"/>
      <w:r w:rsidRPr="00C27A37">
        <w:rPr>
          <w:rFonts w:eastAsia="Arial Unicode MS"/>
          <w:sz w:val="16"/>
          <w:szCs w:val="16"/>
          <w14:textOutline w14:w="0" w14:cap="flat" w14:cmpd="sng" w14:algn="ctr">
            <w14:noFill/>
            <w14:prstDash w14:val="solid"/>
            <w14:bevel/>
          </w14:textOutline>
        </w:rPr>
        <w:t>Ardana</w:t>
      </w:r>
      <w:proofErr w:type="spellEnd"/>
      <w:r w:rsidRPr="00C27A37">
        <w:rPr>
          <w:rFonts w:eastAsia="Arial Unicode MS"/>
          <w:sz w:val="16"/>
          <w:szCs w:val="16"/>
          <w14:textOutline w14:w="0" w14:cap="flat" w14:cmpd="sng" w14:algn="ctr">
            <w14:noFill/>
            <w14:prstDash w14:val="solid"/>
            <w14:bevel/>
          </w14:textOutline>
        </w:rPr>
        <w:t xml:space="preserve"> AKKG, </w:t>
      </w:r>
      <w:proofErr w:type="spellStart"/>
      <w:r w:rsidRPr="00C27A37">
        <w:rPr>
          <w:rFonts w:eastAsia="Arial Unicode MS"/>
          <w:sz w:val="16"/>
          <w:szCs w:val="16"/>
          <w14:textOutline w14:w="0" w14:cap="flat" w14:cmpd="sng" w14:algn="ctr">
            <w14:noFill/>
            <w14:prstDash w14:val="solid"/>
            <w14:bevel/>
          </w14:textOutline>
        </w:rPr>
        <w:t>Budhy</w:t>
      </w:r>
      <w:proofErr w:type="spellEnd"/>
      <w:r w:rsidRPr="00C27A37">
        <w:rPr>
          <w:rFonts w:eastAsia="Arial Unicode MS"/>
          <w:sz w:val="16"/>
          <w:szCs w:val="16"/>
          <w14:textOutline w14:w="0" w14:cap="flat" w14:cmpd="sng" w14:algn="ctr">
            <w14:noFill/>
            <w14:prstDash w14:val="solid"/>
            <w14:bevel/>
          </w14:textOutline>
        </w:rPr>
        <w:t xml:space="preserve"> TI, et al. COL1A1 and FGFR2 Single- Nucleotide Polymorphisms Found in Class II and Class III Skeletal Malocclusions in Javanese Population. Eur J Dent. 2022;17:183-90.</w:t>
      </w:r>
      <w:r w:rsidRPr="00C27A37">
        <w:rPr>
          <w:rFonts w:eastAsia="Arial Unicode MS" w:hint="cs"/>
          <w:sz w:val="16"/>
          <w:szCs w:val="16"/>
          <w:rtl/>
          <w14:textOutline w14:w="0" w14:cap="flat" w14:cmpd="sng" w14:algn="ctr">
            <w14:noFill/>
            <w14:prstDash w14:val="solid"/>
            <w14:bevel/>
          </w14:textOutline>
        </w:rPr>
        <w:t xml:space="preserve"> </w:t>
      </w:r>
      <w:hyperlink r:id="rId42" w:history="1">
        <w:r w:rsidRPr="00C27A37">
          <w:rPr>
            <w:rStyle w:val="Hyperlink"/>
            <w:rFonts w:eastAsia="Arial Unicode MS"/>
            <w:sz w:val="16"/>
            <w:szCs w:val="16"/>
            <w14:textOutline w14:w="0" w14:cap="flat" w14:cmpd="sng" w14:algn="ctr">
              <w14:noFill/>
              <w14:prstDash w14:val="solid"/>
              <w14:bevel/>
            </w14:textOutline>
          </w:rPr>
          <w:t>https://doi.org/10.1055/s-0042-1744371</w:t>
        </w:r>
      </w:hyperlink>
      <w:r w:rsidRPr="00C27A37">
        <w:rPr>
          <w:rFonts w:eastAsia="Arial Unicode MS" w:hint="cs"/>
          <w:sz w:val="16"/>
          <w:szCs w:val="16"/>
          <w:rtl/>
          <w14:textOutline w14:w="0" w14:cap="flat" w14:cmpd="sng" w14:algn="ctr">
            <w14:noFill/>
            <w14:prstDash w14:val="solid"/>
            <w14:bevel/>
          </w14:textOutline>
        </w:rPr>
        <w:t xml:space="preserve"> </w:t>
      </w:r>
    </w:p>
    <w:p w14:paraId="0FFE933B" w14:textId="57DF47E8"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Milosevic O, Nikolic N, </w:t>
      </w:r>
      <w:proofErr w:type="spellStart"/>
      <w:r w:rsidRPr="00C27A37">
        <w:rPr>
          <w:rFonts w:eastAsia="Arial Unicode MS"/>
          <w:sz w:val="16"/>
          <w:szCs w:val="16"/>
          <w14:textOutline w14:w="0" w14:cap="flat" w14:cmpd="sng" w14:algn="ctr">
            <w14:noFill/>
            <w14:prstDash w14:val="solid"/>
            <w14:bevel/>
          </w14:textOutline>
        </w:rPr>
        <w:t>Carkic</w:t>
      </w:r>
      <w:proofErr w:type="spellEnd"/>
      <w:r w:rsidRPr="00C27A37">
        <w:rPr>
          <w:rFonts w:eastAsia="Arial Unicode MS"/>
          <w:sz w:val="16"/>
          <w:szCs w:val="16"/>
          <w14:textOutline w14:w="0" w14:cap="flat" w14:cmpd="sng" w14:algn="ctr">
            <w14:noFill/>
            <w14:prstDash w14:val="solid"/>
            <w14:bevel/>
          </w14:textOutline>
        </w:rPr>
        <w:t xml:space="preserve"> J, </w:t>
      </w:r>
      <w:proofErr w:type="spellStart"/>
      <w:r w:rsidRPr="00C27A37">
        <w:rPr>
          <w:rFonts w:eastAsia="Arial Unicode MS"/>
          <w:sz w:val="16"/>
          <w:szCs w:val="16"/>
          <w14:textOutline w14:w="0" w14:cap="flat" w14:cmpd="sng" w14:algn="ctr">
            <w14:noFill/>
            <w14:prstDash w14:val="solid"/>
            <w14:bevel/>
          </w14:textOutline>
        </w:rPr>
        <w:t>Majstorović</w:t>
      </w:r>
      <w:proofErr w:type="spellEnd"/>
      <w:r w:rsidRPr="00C27A37">
        <w:rPr>
          <w:rFonts w:eastAsia="Arial Unicode MS"/>
          <w:sz w:val="16"/>
          <w:szCs w:val="16"/>
          <w14:textOutline w14:w="0" w14:cap="flat" w14:cmpd="sng" w14:algn="ctr">
            <w14:noFill/>
            <w14:prstDash w14:val="solid"/>
            <w14:bevel/>
          </w14:textOutline>
        </w:rPr>
        <w:t xml:space="preserve"> N, </w:t>
      </w:r>
      <w:proofErr w:type="spellStart"/>
      <w:r w:rsidRPr="00C27A37">
        <w:rPr>
          <w:rFonts w:eastAsia="Arial Unicode MS"/>
          <w:sz w:val="16"/>
          <w:szCs w:val="16"/>
          <w14:textOutline w14:w="0" w14:cap="flat" w14:cmpd="sng" w14:algn="ctr">
            <w14:noFill/>
            <w14:prstDash w14:val="solid"/>
            <w14:bevel/>
          </w14:textOutline>
        </w:rPr>
        <w:t>Glisic</w:t>
      </w:r>
      <w:proofErr w:type="spellEnd"/>
      <w:r w:rsidRPr="00C27A37">
        <w:rPr>
          <w:rFonts w:eastAsia="Arial Unicode MS"/>
          <w:sz w:val="16"/>
          <w:szCs w:val="16"/>
          <w14:textOutline w14:w="0" w14:cap="flat" w14:cmpd="sng" w14:algn="ctr">
            <w14:noFill/>
            <w14:prstDash w14:val="solid"/>
            <w14:bevel/>
          </w14:textOutline>
        </w:rPr>
        <w:t xml:space="preserve"> B, </w:t>
      </w:r>
      <w:proofErr w:type="spellStart"/>
      <w:r w:rsidRPr="00C27A37">
        <w:rPr>
          <w:rFonts w:eastAsia="Arial Unicode MS"/>
          <w:sz w:val="16"/>
          <w:szCs w:val="16"/>
          <w14:textOutline w14:w="0" w14:cap="flat" w14:cmpd="sng" w14:algn="ctr">
            <w14:noFill/>
            <w14:prstDash w14:val="solid"/>
            <w14:bevel/>
          </w14:textOutline>
        </w:rPr>
        <w:t>Milasin</w:t>
      </w:r>
      <w:proofErr w:type="spellEnd"/>
      <w:r w:rsidRPr="00C27A37">
        <w:rPr>
          <w:rFonts w:eastAsia="Arial Unicode MS"/>
          <w:sz w:val="16"/>
          <w:szCs w:val="16"/>
          <w14:textOutline w14:w="0" w14:cap="flat" w14:cmpd="sng" w14:algn="ctr">
            <w14:noFill/>
            <w14:prstDash w14:val="solid"/>
            <w14:bevel/>
          </w14:textOutline>
        </w:rPr>
        <w:t xml:space="preserve"> J. Analysis of Col1a1 and Mmp9 Single Nucleotide Polymorphisms in Mandibular Prognathism. </w:t>
      </w:r>
      <w:proofErr w:type="spellStart"/>
      <w:r w:rsidRPr="00C27A37">
        <w:rPr>
          <w:rFonts w:eastAsia="Arial Unicode MS"/>
          <w:sz w:val="16"/>
          <w:szCs w:val="16"/>
          <w14:textOutline w14:w="0" w14:cap="flat" w14:cmpd="sng" w14:algn="ctr">
            <w14:noFill/>
            <w14:prstDash w14:val="solid"/>
            <w14:bevel/>
          </w14:textOutline>
        </w:rPr>
        <w:t>Genetika</w:t>
      </w:r>
      <w:proofErr w:type="spellEnd"/>
      <w:r w:rsidRPr="00C27A37">
        <w:rPr>
          <w:rFonts w:eastAsia="Arial Unicode MS"/>
          <w:sz w:val="16"/>
          <w:szCs w:val="16"/>
          <w14:textOutline w14:w="0" w14:cap="flat" w14:cmpd="sng" w14:algn="ctr">
            <w14:noFill/>
            <w14:prstDash w14:val="solid"/>
            <w14:bevel/>
          </w14:textOutline>
        </w:rPr>
        <w:t>. 2022;54:777-86.</w:t>
      </w:r>
      <w:r w:rsidRPr="00C27A37">
        <w:rPr>
          <w:rFonts w:eastAsia="Arial Unicode MS" w:hint="cs"/>
          <w:sz w:val="16"/>
          <w:szCs w:val="16"/>
          <w:rtl/>
          <w14:textOutline w14:w="0" w14:cap="flat" w14:cmpd="sng" w14:algn="ctr">
            <w14:noFill/>
            <w14:prstDash w14:val="solid"/>
            <w14:bevel/>
          </w14:textOutline>
        </w:rPr>
        <w:t xml:space="preserve"> </w:t>
      </w:r>
      <w:hyperlink r:id="rId43" w:history="1">
        <w:r w:rsidRPr="00C27A37">
          <w:rPr>
            <w:rStyle w:val="Hyperlink"/>
            <w:rFonts w:eastAsia="Arial Unicode MS"/>
            <w:sz w:val="16"/>
            <w:szCs w:val="16"/>
            <w14:textOutline w14:w="0" w14:cap="flat" w14:cmpd="sng" w14:algn="ctr">
              <w14:noFill/>
              <w14:prstDash w14:val="solid"/>
              <w14:bevel/>
            </w14:textOutline>
          </w:rPr>
          <w:t>https://doi.org/10.2298/GENSR2202777M</w:t>
        </w:r>
      </w:hyperlink>
      <w:r w:rsidRPr="00C27A37">
        <w:rPr>
          <w:rFonts w:eastAsia="Arial Unicode MS" w:hint="cs"/>
          <w:sz w:val="16"/>
          <w:szCs w:val="16"/>
          <w:rtl/>
          <w14:textOutline w14:w="0" w14:cap="flat" w14:cmpd="sng" w14:algn="ctr">
            <w14:noFill/>
            <w14:prstDash w14:val="solid"/>
            <w14:bevel/>
          </w14:textOutline>
        </w:rPr>
        <w:t xml:space="preserve"> </w:t>
      </w:r>
    </w:p>
    <w:p w14:paraId="58C7BF7C" w14:textId="56168A27"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Xiong</w:t>
      </w:r>
      <w:proofErr w:type="spellEnd"/>
      <w:r w:rsidRPr="00C27A37">
        <w:rPr>
          <w:rFonts w:eastAsia="Arial Unicode MS"/>
          <w:sz w:val="16"/>
          <w:szCs w:val="16"/>
          <w14:textOutline w14:w="0" w14:cap="flat" w14:cmpd="sng" w14:algn="ctr">
            <w14:noFill/>
            <w14:prstDash w14:val="solid"/>
            <w14:bevel/>
          </w14:textOutline>
        </w:rPr>
        <w:t xml:space="preserve"> X, Li S, Cai Y, Chen F, Liu J. Targeted sequencing in FGF/FGFR genes and association analysis of variants for mandibular prognathism. Med. 2017;96:1-7.</w:t>
      </w:r>
      <w:r w:rsidRPr="00C27A37">
        <w:rPr>
          <w:rFonts w:eastAsia="Arial Unicode MS" w:hint="cs"/>
          <w:sz w:val="16"/>
          <w:szCs w:val="16"/>
          <w:rtl/>
          <w14:textOutline w14:w="0" w14:cap="flat" w14:cmpd="sng" w14:algn="ctr">
            <w14:noFill/>
            <w14:prstDash w14:val="solid"/>
            <w14:bevel/>
          </w14:textOutline>
        </w:rPr>
        <w:t xml:space="preserve"> </w:t>
      </w:r>
      <w:hyperlink r:id="rId44" w:history="1">
        <w:r w:rsidRPr="00C27A37">
          <w:rPr>
            <w:rStyle w:val="Hyperlink"/>
            <w:rFonts w:eastAsia="Arial Unicode MS"/>
            <w:sz w:val="16"/>
            <w:szCs w:val="16"/>
            <w14:textOutline w14:w="0" w14:cap="flat" w14:cmpd="sng" w14:algn="ctr">
              <w14:noFill/>
              <w14:prstDash w14:val="solid"/>
              <w14:bevel/>
            </w14:textOutline>
          </w:rPr>
          <w:t>https://doi.org/10.1097/MD.0000000000007240</w:t>
        </w:r>
      </w:hyperlink>
      <w:r w:rsidRPr="00C27A37">
        <w:rPr>
          <w:rFonts w:eastAsia="Arial Unicode MS" w:hint="cs"/>
          <w:sz w:val="16"/>
          <w:szCs w:val="16"/>
          <w:rtl/>
          <w14:textOutline w14:w="0" w14:cap="flat" w14:cmpd="sng" w14:algn="ctr">
            <w14:noFill/>
            <w14:prstDash w14:val="solid"/>
            <w14:bevel/>
          </w14:textOutline>
        </w:rPr>
        <w:t xml:space="preserve"> </w:t>
      </w:r>
    </w:p>
    <w:p w14:paraId="752DCE6E" w14:textId="35DB9678"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Jiang Q, Mei L, Zou Y, Ding Q, Cannon RD, Chen H, et al. Genetic Polymorphisms in FGFR2 Underlie Skeletal Malocclusion. J Dent Res. 2019;98:1340-7.</w:t>
      </w:r>
      <w:r w:rsidRPr="00C27A37">
        <w:rPr>
          <w:rFonts w:eastAsia="Arial Unicode MS" w:hint="cs"/>
          <w:sz w:val="16"/>
          <w:szCs w:val="16"/>
          <w:rtl/>
          <w14:textOutline w14:w="0" w14:cap="flat" w14:cmpd="sng" w14:algn="ctr">
            <w14:noFill/>
            <w14:prstDash w14:val="solid"/>
            <w14:bevel/>
          </w14:textOutline>
        </w:rPr>
        <w:t xml:space="preserve"> </w:t>
      </w:r>
      <w:hyperlink r:id="rId45" w:history="1">
        <w:r w:rsidRPr="00C27A37">
          <w:rPr>
            <w:rStyle w:val="Hyperlink"/>
            <w:rFonts w:eastAsia="Arial Unicode MS"/>
            <w:sz w:val="16"/>
            <w:szCs w:val="16"/>
            <w14:textOutline w14:w="0" w14:cap="flat" w14:cmpd="sng" w14:algn="ctr">
              <w14:noFill/>
              <w14:prstDash w14:val="solid"/>
              <w14:bevel/>
            </w14:textOutline>
          </w:rPr>
          <w:t>https://doi.org/10.1177/0022034519872951</w:t>
        </w:r>
      </w:hyperlink>
      <w:r w:rsidRPr="00C27A37">
        <w:rPr>
          <w:rFonts w:eastAsia="Arial Unicode MS" w:hint="cs"/>
          <w:sz w:val="16"/>
          <w:szCs w:val="16"/>
          <w:rtl/>
          <w14:textOutline w14:w="0" w14:cap="flat" w14:cmpd="sng" w14:algn="ctr">
            <w14:noFill/>
            <w14:prstDash w14:val="solid"/>
            <w14:bevel/>
          </w14:textOutline>
        </w:rPr>
        <w:t xml:space="preserve"> </w:t>
      </w:r>
    </w:p>
    <w:p w14:paraId="34ED0DBC" w14:textId="43FD05E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Luo S, Long X, Deng M, Meng Q, </w:t>
      </w:r>
      <w:proofErr w:type="spellStart"/>
      <w:r w:rsidRPr="00C27A37">
        <w:rPr>
          <w:rFonts w:eastAsia="Arial Unicode MS"/>
          <w:sz w:val="16"/>
          <w:szCs w:val="16"/>
          <w14:textOutline w14:w="0" w14:cap="flat" w14:cmpd="sng" w14:algn="ctr">
            <w14:noFill/>
            <w14:prstDash w14:val="solid"/>
            <w14:bevel/>
          </w14:textOutline>
        </w:rPr>
        <w:t>Ke</w:t>
      </w:r>
      <w:proofErr w:type="spellEnd"/>
      <w:r w:rsidRPr="00C27A37">
        <w:rPr>
          <w:rFonts w:eastAsia="Arial Unicode MS"/>
          <w:sz w:val="16"/>
          <w:szCs w:val="16"/>
          <w14:textOutline w14:w="0" w14:cap="flat" w14:cmpd="sng" w14:algn="ctr">
            <w14:noFill/>
            <w14:prstDash w14:val="solid"/>
            <w14:bevel/>
          </w14:textOutline>
        </w:rPr>
        <w:t xml:space="preserve"> J, Guo H. Association of COL1A1 polymorphism with subchondral bone degeneration of the temporomandibular joint. Int J Oral </w:t>
      </w:r>
      <w:proofErr w:type="spellStart"/>
      <w:r w:rsidRPr="00C27A37">
        <w:rPr>
          <w:rFonts w:eastAsia="Arial Unicode MS"/>
          <w:sz w:val="16"/>
          <w:szCs w:val="16"/>
          <w14:textOutline w14:w="0" w14:cap="flat" w14:cmpd="sng" w14:algn="ctr">
            <w14:noFill/>
            <w14:prstDash w14:val="solid"/>
            <w14:bevel/>
          </w14:textOutline>
        </w:rPr>
        <w:t>Maxillofac</w:t>
      </w:r>
      <w:proofErr w:type="spellEnd"/>
      <w:r w:rsidRPr="00C27A37">
        <w:rPr>
          <w:rFonts w:eastAsia="Arial Unicode MS"/>
          <w:sz w:val="16"/>
          <w:szCs w:val="16"/>
          <w14:textOutline w14:w="0" w14:cap="flat" w14:cmpd="sng" w14:algn="ctr">
            <w14:noFill/>
            <w14:prstDash w14:val="solid"/>
            <w14:bevel/>
          </w14:textOutline>
        </w:rPr>
        <w:t xml:space="preserve"> Surg. 2016;45:1551-5.</w:t>
      </w:r>
      <w:r w:rsidR="00C27A37">
        <w:rPr>
          <w:rFonts w:eastAsia="Arial Unicode MS" w:hint="cs"/>
          <w:sz w:val="16"/>
          <w:szCs w:val="16"/>
          <w:rtl/>
          <w14:textOutline w14:w="0" w14:cap="flat" w14:cmpd="sng" w14:algn="ctr">
            <w14:noFill/>
            <w14:prstDash w14:val="solid"/>
            <w14:bevel/>
          </w14:textOutline>
        </w:rPr>
        <w:t xml:space="preserve"> </w:t>
      </w:r>
      <w:hyperlink r:id="rId46" w:history="1">
        <w:r w:rsidR="00C27A37" w:rsidRPr="002B0888">
          <w:rPr>
            <w:rStyle w:val="Hyperlink"/>
            <w:rFonts w:eastAsia="Arial Unicode MS"/>
            <w:sz w:val="16"/>
            <w:szCs w:val="16"/>
            <w14:textOutline w14:w="0" w14:cap="flat" w14:cmpd="sng" w14:algn="ctr">
              <w14:noFill/>
              <w14:prstDash w14:val="solid"/>
              <w14:bevel/>
            </w14:textOutline>
          </w:rPr>
          <w:t>https://doi.org/10.1016/j.ijom.2016.06.010</w:t>
        </w:r>
      </w:hyperlink>
      <w:r w:rsidRPr="00C27A37">
        <w:rPr>
          <w:rFonts w:eastAsia="Arial Unicode MS" w:hint="cs"/>
          <w:sz w:val="16"/>
          <w:szCs w:val="16"/>
          <w:rtl/>
          <w14:textOutline w14:w="0" w14:cap="flat" w14:cmpd="sng" w14:algn="ctr">
            <w14:noFill/>
            <w14:prstDash w14:val="solid"/>
            <w14:bevel/>
          </w14:textOutline>
        </w:rPr>
        <w:t xml:space="preserve"> </w:t>
      </w:r>
    </w:p>
    <w:p w14:paraId="37C79CD4" w14:textId="3ECCCAF7"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Shibata S, Sakamoto Y, Baba O, Qin C, Murakami G, Cho BH. An immunohistochemical study of matrix proteins in the craniofacial cartilage in midterm human fetuses. Eur J </w:t>
      </w:r>
      <w:proofErr w:type="spellStart"/>
      <w:r w:rsidRPr="00C27A37">
        <w:rPr>
          <w:rFonts w:eastAsia="Arial Unicode MS"/>
          <w:sz w:val="16"/>
          <w:szCs w:val="16"/>
          <w14:textOutline w14:w="0" w14:cap="flat" w14:cmpd="sng" w14:algn="ctr">
            <w14:noFill/>
            <w14:prstDash w14:val="solid"/>
            <w14:bevel/>
          </w14:textOutline>
        </w:rPr>
        <w:t>Histochem</w:t>
      </w:r>
      <w:proofErr w:type="spellEnd"/>
      <w:r w:rsidRPr="00C27A37">
        <w:rPr>
          <w:rFonts w:eastAsia="Arial Unicode MS"/>
          <w:sz w:val="16"/>
          <w:szCs w:val="16"/>
          <w14:textOutline w14:w="0" w14:cap="flat" w14:cmpd="sng" w14:algn="ctr">
            <w14:noFill/>
            <w14:prstDash w14:val="solid"/>
            <w14:bevel/>
          </w14:textOutline>
        </w:rPr>
        <w:t>. 2013;57:262-70.</w:t>
      </w:r>
      <w:r w:rsidRPr="00C27A37">
        <w:rPr>
          <w:rFonts w:eastAsia="Arial Unicode MS" w:hint="cs"/>
          <w:sz w:val="16"/>
          <w:szCs w:val="16"/>
          <w:rtl/>
          <w14:textOutline w14:w="0" w14:cap="flat" w14:cmpd="sng" w14:algn="ctr">
            <w14:noFill/>
            <w14:prstDash w14:val="solid"/>
            <w14:bevel/>
          </w14:textOutline>
        </w:rPr>
        <w:t xml:space="preserve"> </w:t>
      </w:r>
      <w:hyperlink r:id="rId47" w:history="1">
        <w:r w:rsidRPr="00C27A37">
          <w:rPr>
            <w:rStyle w:val="Hyperlink"/>
            <w:rFonts w:eastAsia="Arial Unicode MS"/>
            <w:sz w:val="16"/>
            <w:szCs w:val="16"/>
            <w14:textOutline w14:w="0" w14:cap="flat" w14:cmpd="sng" w14:algn="ctr">
              <w14:noFill/>
              <w14:prstDash w14:val="solid"/>
              <w14:bevel/>
            </w14:textOutline>
          </w:rPr>
          <w:t>https://doi.org/10.4081/ejh.2013.e39</w:t>
        </w:r>
      </w:hyperlink>
      <w:r w:rsidRPr="00C27A37">
        <w:rPr>
          <w:rFonts w:eastAsia="Arial Unicode MS" w:hint="cs"/>
          <w:sz w:val="16"/>
          <w:szCs w:val="16"/>
          <w:rtl/>
          <w14:textOutline w14:w="0" w14:cap="flat" w14:cmpd="sng" w14:algn="ctr">
            <w14:noFill/>
            <w14:prstDash w14:val="solid"/>
            <w14:bevel/>
          </w14:textOutline>
        </w:rPr>
        <w:t xml:space="preserve"> </w:t>
      </w:r>
    </w:p>
    <w:p w14:paraId="39B4FD58" w14:textId="2CA41EA8"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Mandalos</w:t>
      </w:r>
      <w:proofErr w:type="spellEnd"/>
      <w:r w:rsidRPr="00C27A37">
        <w:rPr>
          <w:rFonts w:eastAsia="Arial Unicode MS"/>
          <w:sz w:val="16"/>
          <w:szCs w:val="16"/>
          <w14:textOutline w14:w="0" w14:cap="flat" w14:cmpd="sng" w14:algn="ctr">
            <w14:noFill/>
            <w14:prstDash w14:val="solid"/>
            <w14:bevel/>
          </w14:textOutline>
        </w:rPr>
        <w:t xml:space="preserve"> N, </w:t>
      </w:r>
      <w:proofErr w:type="spellStart"/>
      <w:r w:rsidRPr="00C27A37">
        <w:rPr>
          <w:rFonts w:eastAsia="Arial Unicode MS"/>
          <w:sz w:val="16"/>
          <w:szCs w:val="16"/>
          <w14:textOutline w14:w="0" w14:cap="flat" w14:cmpd="sng" w14:algn="ctr">
            <w14:noFill/>
            <w14:prstDash w14:val="solid"/>
            <w14:bevel/>
          </w14:textOutline>
        </w:rPr>
        <w:t>Saridaki</w:t>
      </w:r>
      <w:proofErr w:type="spellEnd"/>
      <w:r w:rsidRPr="00C27A37">
        <w:rPr>
          <w:rFonts w:eastAsia="Arial Unicode MS"/>
          <w:sz w:val="16"/>
          <w:szCs w:val="16"/>
          <w14:textOutline w14:w="0" w14:cap="flat" w14:cmpd="sng" w14:algn="ctr">
            <w14:noFill/>
            <w14:prstDash w14:val="solid"/>
            <w14:bevel/>
          </w14:textOutline>
        </w:rPr>
        <w:t xml:space="preserve"> M, Harper JL, </w:t>
      </w:r>
      <w:proofErr w:type="spellStart"/>
      <w:r w:rsidRPr="00C27A37">
        <w:rPr>
          <w:rFonts w:eastAsia="Arial Unicode MS"/>
          <w:sz w:val="16"/>
          <w:szCs w:val="16"/>
          <w14:textOutline w14:w="0" w14:cap="flat" w14:cmpd="sng" w14:algn="ctr">
            <w14:noFill/>
            <w14:prstDash w14:val="solid"/>
            <w14:bevel/>
          </w14:textOutline>
        </w:rPr>
        <w:t>Kotsoni</w:t>
      </w:r>
      <w:proofErr w:type="spellEnd"/>
      <w:r w:rsidRPr="00C27A37">
        <w:rPr>
          <w:rFonts w:eastAsia="Arial Unicode MS"/>
          <w:sz w:val="16"/>
          <w:szCs w:val="16"/>
          <w14:textOutline w14:w="0" w14:cap="flat" w14:cmpd="sng" w14:algn="ctr">
            <w14:noFill/>
            <w14:prstDash w14:val="solid"/>
            <w14:bevel/>
          </w14:textOutline>
        </w:rPr>
        <w:t xml:space="preserve"> A, Yang P, Economides AN, et al. Application of a Novel Strategy of Engineering Conditional Alleles to a Single Exon Gene, Sox2. </w:t>
      </w:r>
      <w:proofErr w:type="spellStart"/>
      <w:r w:rsidRPr="00C27A37">
        <w:rPr>
          <w:rFonts w:eastAsia="Arial Unicode MS"/>
          <w:sz w:val="16"/>
          <w:szCs w:val="16"/>
          <w14:textOutline w14:w="0" w14:cap="flat" w14:cmpd="sng" w14:algn="ctr">
            <w14:noFill/>
            <w14:prstDash w14:val="solid"/>
            <w14:bevel/>
          </w14:textOutline>
        </w:rPr>
        <w:t>PLoS</w:t>
      </w:r>
      <w:proofErr w:type="spellEnd"/>
      <w:r w:rsidRPr="00C27A37">
        <w:rPr>
          <w:rFonts w:eastAsia="Arial Unicode MS"/>
          <w:sz w:val="16"/>
          <w:szCs w:val="16"/>
          <w14:textOutline w14:w="0" w14:cap="flat" w14:cmpd="sng" w14:algn="ctr">
            <w14:noFill/>
            <w14:prstDash w14:val="solid"/>
            <w14:bevel/>
          </w14:textOutline>
        </w:rPr>
        <w:t xml:space="preserve"> One. 2012;7:1-9.</w:t>
      </w:r>
      <w:r w:rsidRPr="00C27A37">
        <w:rPr>
          <w:rFonts w:eastAsia="Arial Unicode MS" w:hint="cs"/>
          <w:sz w:val="16"/>
          <w:szCs w:val="16"/>
          <w:rtl/>
          <w14:textOutline w14:w="0" w14:cap="flat" w14:cmpd="sng" w14:algn="ctr">
            <w14:noFill/>
            <w14:prstDash w14:val="solid"/>
            <w14:bevel/>
          </w14:textOutline>
        </w:rPr>
        <w:t xml:space="preserve"> </w:t>
      </w:r>
      <w:hyperlink r:id="rId48" w:history="1">
        <w:r w:rsidRPr="00C27A37">
          <w:rPr>
            <w:rStyle w:val="Hyperlink"/>
            <w:rFonts w:eastAsia="Arial Unicode MS"/>
            <w:sz w:val="16"/>
            <w:szCs w:val="16"/>
            <w14:textOutline w14:w="0" w14:cap="flat" w14:cmpd="sng" w14:algn="ctr">
              <w14:noFill/>
              <w14:prstDash w14:val="solid"/>
              <w14:bevel/>
            </w14:textOutline>
          </w:rPr>
          <w:t>https://doi.org/10.1371/journal.pone.0045768</w:t>
        </w:r>
      </w:hyperlink>
      <w:r w:rsidRPr="00C27A37">
        <w:rPr>
          <w:rFonts w:eastAsia="Arial Unicode MS" w:hint="cs"/>
          <w:sz w:val="16"/>
          <w:szCs w:val="16"/>
          <w:rtl/>
          <w14:textOutline w14:w="0" w14:cap="flat" w14:cmpd="sng" w14:algn="ctr">
            <w14:noFill/>
            <w14:prstDash w14:val="solid"/>
            <w14:bevel/>
          </w14:textOutline>
        </w:rPr>
        <w:t xml:space="preserve"> </w:t>
      </w:r>
    </w:p>
    <w:p w14:paraId="287987F7" w14:textId="5DC85012"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Langer L, </w:t>
      </w:r>
      <w:proofErr w:type="spellStart"/>
      <w:r w:rsidRPr="00C27A37">
        <w:rPr>
          <w:rFonts w:eastAsia="Arial Unicode MS"/>
          <w:sz w:val="16"/>
          <w:szCs w:val="16"/>
          <w14:textOutline w14:w="0" w14:cap="flat" w14:cmpd="sng" w14:algn="ctr">
            <w14:noFill/>
            <w14:prstDash w14:val="solid"/>
            <w14:bevel/>
          </w14:textOutline>
        </w:rPr>
        <w:t>Sulik</w:t>
      </w:r>
      <w:proofErr w:type="spellEnd"/>
      <w:r w:rsidRPr="00C27A37">
        <w:rPr>
          <w:rFonts w:eastAsia="Arial Unicode MS"/>
          <w:sz w:val="16"/>
          <w:szCs w:val="16"/>
          <w14:textOutline w14:w="0" w14:cap="flat" w14:cmpd="sng" w14:algn="ctr">
            <w14:noFill/>
            <w14:prstDash w14:val="solid"/>
            <w14:bevel/>
          </w14:textOutline>
        </w:rPr>
        <w:t xml:space="preserve"> K, </w:t>
      </w:r>
      <w:proofErr w:type="spellStart"/>
      <w:r w:rsidRPr="00C27A37">
        <w:rPr>
          <w:rFonts w:eastAsia="Arial Unicode MS"/>
          <w:sz w:val="16"/>
          <w:szCs w:val="16"/>
          <w14:textOutline w14:w="0" w14:cap="flat" w14:cmpd="sng" w14:algn="ctr">
            <w14:noFill/>
            <w14:prstDash w14:val="solid"/>
            <w14:bevel/>
          </w14:textOutline>
        </w:rPr>
        <w:t>Pevny</w:t>
      </w:r>
      <w:proofErr w:type="spellEnd"/>
      <w:r w:rsidRPr="00C27A37">
        <w:rPr>
          <w:rFonts w:eastAsia="Arial Unicode MS"/>
          <w:sz w:val="16"/>
          <w:szCs w:val="16"/>
          <w14:textOutline w14:w="0" w14:cap="flat" w14:cmpd="sng" w14:algn="ctr">
            <w14:noFill/>
            <w14:prstDash w14:val="solid"/>
            <w14:bevel/>
          </w14:textOutline>
        </w:rPr>
        <w:t xml:space="preserve"> L. Cleft palate in a mouse model of SOX2 haploinsufficiency. Cleft Palate-Craniofacial J. 2014;51:110-14.</w:t>
      </w:r>
      <w:r w:rsidRPr="00C27A37">
        <w:rPr>
          <w:rFonts w:eastAsia="Arial Unicode MS" w:hint="cs"/>
          <w:sz w:val="16"/>
          <w:szCs w:val="16"/>
          <w:rtl/>
          <w14:textOutline w14:w="0" w14:cap="flat" w14:cmpd="sng" w14:algn="ctr">
            <w14:noFill/>
            <w14:prstDash w14:val="solid"/>
            <w14:bevel/>
          </w14:textOutline>
        </w:rPr>
        <w:t xml:space="preserve"> </w:t>
      </w:r>
      <w:hyperlink r:id="rId49" w:history="1">
        <w:r w:rsidRPr="00C27A37">
          <w:rPr>
            <w:rStyle w:val="Hyperlink"/>
            <w:rFonts w:eastAsia="Arial Unicode MS"/>
            <w:sz w:val="16"/>
            <w:szCs w:val="16"/>
            <w14:textOutline w14:w="0" w14:cap="flat" w14:cmpd="sng" w14:algn="ctr">
              <w14:noFill/>
              <w14:prstDash w14:val="solid"/>
              <w14:bevel/>
            </w14:textOutline>
          </w:rPr>
          <w:t>https://doi.org/10.1597/12-260</w:t>
        </w:r>
      </w:hyperlink>
      <w:r w:rsidRPr="00C27A37">
        <w:rPr>
          <w:rFonts w:eastAsia="Arial Unicode MS" w:hint="cs"/>
          <w:sz w:val="16"/>
          <w:szCs w:val="16"/>
          <w:rtl/>
          <w14:textOutline w14:w="0" w14:cap="flat" w14:cmpd="sng" w14:algn="ctr">
            <w14:noFill/>
            <w14:prstDash w14:val="solid"/>
            <w14:bevel/>
          </w14:textOutline>
        </w:rPr>
        <w:t xml:space="preserve"> </w:t>
      </w:r>
    </w:p>
    <w:p w14:paraId="76888DFC" w14:textId="48E72B95"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Chae YK, </w:t>
      </w:r>
      <w:proofErr w:type="spellStart"/>
      <w:r w:rsidRPr="00C27A37">
        <w:rPr>
          <w:rFonts w:eastAsia="Arial Unicode MS"/>
          <w:sz w:val="16"/>
          <w:szCs w:val="16"/>
          <w14:textOutline w14:w="0" w14:cap="flat" w14:cmpd="sng" w14:algn="ctr">
            <w14:noFill/>
            <w14:prstDash w14:val="solid"/>
            <w14:bevel/>
          </w14:textOutline>
        </w:rPr>
        <w:t>Ranganath</w:t>
      </w:r>
      <w:proofErr w:type="spellEnd"/>
      <w:r w:rsidRPr="00C27A37">
        <w:rPr>
          <w:rFonts w:eastAsia="Arial Unicode MS"/>
          <w:sz w:val="16"/>
          <w:szCs w:val="16"/>
          <w14:textOutline w14:w="0" w14:cap="flat" w14:cmpd="sng" w14:algn="ctr">
            <w14:noFill/>
            <w14:prstDash w14:val="solid"/>
            <w14:bevel/>
          </w14:textOutline>
        </w:rPr>
        <w:t xml:space="preserve"> K, Hammerman PS, </w:t>
      </w:r>
      <w:proofErr w:type="spellStart"/>
      <w:r w:rsidRPr="00C27A37">
        <w:rPr>
          <w:rFonts w:eastAsia="Arial Unicode MS"/>
          <w:sz w:val="16"/>
          <w:szCs w:val="16"/>
          <w14:textOutline w14:w="0" w14:cap="flat" w14:cmpd="sng" w14:algn="ctr">
            <w14:noFill/>
            <w14:prstDash w14:val="solid"/>
            <w14:bevel/>
          </w14:textOutline>
        </w:rPr>
        <w:t>Vaklavas</w:t>
      </w:r>
      <w:proofErr w:type="spellEnd"/>
      <w:r w:rsidRPr="00C27A37">
        <w:rPr>
          <w:rFonts w:eastAsia="Arial Unicode MS"/>
          <w:sz w:val="16"/>
          <w:szCs w:val="16"/>
          <w14:textOutline w14:w="0" w14:cap="flat" w14:cmpd="sng" w14:algn="ctr">
            <w14:noFill/>
            <w14:prstDash w14:val="solid"/>
            <w14:bevel/>
          </w14:textOutline>
        </w:rPr>
        <w:t xml:space="preserve"> C, </w:t>
      </w:r>
      <w:proofErr w:type="spellStart"/>
      <w:r w:rsidRPr="00C27A37">
        <w:rPr>
          <w:rFonts w:eastAsia="Arial Unicode MS"/>
          <w:sz w:val="16"/>
          <w:szCs w:val="16"/>
          <w14:textOutline w14:w="0" w14:cap="flat" w14:cmpd="sng" w14:algn="ctr">
            <w14:noFill/>
            <w14:prstDash w14:val="solid"/>
            <w14:bevel/>
          </w14:textOutline>
        </w:rPr>
        <w:t>Mohindra</w:t>
      </w:r>
      <w:proofErr w:type="spellEnd"/>
      <w:r w:rsidRPr="00C27A37">
        <w:rPr>
          <w:rFonts w:eastAsia="Arial Unicode MS"/>
          <w:sz w:val="16"/>
          <w:szCs w:val="16"/>
          <w14:textOutline w14:w="0" w14:cap="flat" w14:cmpd="sng" w14:algn="ctr">
            <w14:noFill/>
            <w14:prstDash w14:val="solid"/>
            <w14:bevel/>
          </w14:textOutline>
        </w:rPr>
        <w:t xml:space="preserve"> N, Kalyan A, et al. Inhibition of the fibroblast growth factor receptor (FGFR) pathway: The current landscape and barriers to clinical application. </w:t>
      </w:r>
      <w:proofErr w:type="spellStart"/>
      <w:r w:rsidRPr="00C27A37">
        <w:rPr>
          <w:rFonts w:eastAsia="Arial Unicode MS"/>
          <w:sz w:val="16"/>
          <w:szCs w:val="16"/>
          <w14:textOutline w14:w="0" w14:cap="flat" w14:cmpd="sng" w14:algn="ctr">
            <w14:noFill/>
            <w14:prstDash w14:val="solid"/>
            <w14:bevel/>
          </w14:textOutline>
        </w:rPr>
        <w:t>Oncotarget</w:t>
      </w:r>
      <w:proofErr w:type="spellEnd"/>
      <w:r w:rsidRPr="00C27A37">
        <w:rPr>
          <w:rFonts w:eastAsia="Arial Unicode MS"/>
          <w:sz w:val="16"/>
          <w:szCs w:val="16"/>
          <w14:textOutline w14:w="0" w14:cap="flat" w14:cmpd="sng" w14:algn="ctr">
            <w14:noFill/>
            <w14:prstDash w14:val="solid"/>
            <w14:bevel/>
          </w14:textOutline>
        </w:rPr>
        <w:t>. 2017;8:16052-74.</w:t>
      </w:r>
      <w:r w:rsidR="00C27A37">
        <w:rPr>
          <w:rFonts w:eastAsia="Arial Unicode MS" w:hint="cs"/>
          <w:sz w:val="16"/>
          <w:szCs w:val="16"/>
          <w:rtl/>
          <w14:textOutline w14:w="0" w14:cap="flat" w14:cmpd="sng" w14:algn="ctr">
            <w14:noFill/>
            <w14:prstDash w14:val="solid"/>
            <w14:bevel/>
          </w14:textOutline>
        </w:rPr>
        <w:t xml:space="preserve"> </w:t>
      </w:r>
      <w:hyperlink r:id="rId50" w:history="1">
        <w:r w:rsidR="00C27A37" w:rsidRPr="002B0888">
          <w:rPr>
            <w:rStyle w:val="Hyperlink"/>
            <w:rFonts w:eastAsia="Arial Unicode MS"/>
            <w:sz w:val="16"/>
            <w:szCs w:val="16"/>
            <w14:textOutline w14:w="0" w14:cap="flat" w14:cmpd="sng" w14:algn="ctr">
              <w14:noFill/>
              <w14:prstDash w14:val="solid"/>
              <w14:bevel/>
            </w14:textOutline>
          </w:rPr>
          <w:t>https://doi.org/10.18632/oncotarget.14109</w:t>
        </w:r>
      </w:hyperlink>
      <w:r w:rsidRPr="00C27A37">
        <w:rPr>
          <w:rFonts w:eastAsia="Arial Unicode MS" w:hint="cs"/>
          <w:sz w:val="16"/>
          <w:szCs w:val="16"/>
          <w:rtl/>
          <w14:textOutline w14:w="0" w14:cap="flat" w14:cmpd="sng" w14:algn="ctr">
            <w14:noFill/>
            <w14:prstDash w14:val="solid"/>
            <w14:bevel/>
          </w14:textOutline>
        </w:rPr>
        <w:t xml:space="preserve"> </w:t>
      </w:r>
    </w:p>
    <w:p w14:paraId="4C8FCC78" w14:textId="67EBF42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Cruz CV, Mattos CT, Maia JC, </w:t>
      </w:r>
      <w:proofErr w:type="spellStart"/>
      <w:r w:rsidRPr="00C27A37">
        <w:rPr>
          <w:rFonts w:eastAsia="Arial Unicode MS"/>
          <w:sz w:val="16"/>
          <w:szCs w:val="16"/>
          <w14:textOutline w14:w="0" w14:cap="flat" w14:cmpd="sng" w14:algn="ctr">
            <w14:noFill/>
            <w14:prstDash w14:val="solid"/>
            <w14:bevel/>
          </w14:textOutline>
        </w:rPr>
        <w:t>Granjeiro</w:t>
      </w:r>
      <w:proofErr w:type="spellEnd"/>
      <w:r w:rsidRPr="00C27A37">
        <w:rPr>
          <w:rFonts w:eastAsia="Arial Unicode MS"/>
          <w:sz w:val="16"/>
          <w:szCs w:val="16"/>
          <w14:textOutline w14:w="0" w14:cap="flat" w14:cmpd="sng" w14:algn="ctr">
            <w14:noFill/>
            <w14:prstDash w14:val="solid"/>
            <w14:bevel/>
          </w14:textOutline>
        </w:rPr>
        <w:t xml:space="preserve"> JM, Reis MF, </w:t>
      </w:r>
      <w:proofErr w:type="spellStart"/>
      <w:r w:rsidRPr="00C27A37">
        <w:rPr>
          <w:rFonts w:eastAsia="Arial Unicode MS"/>
          <w:sz w:val="16"/>
          <w:szCs w:val="16"/>
          <w14:textOutline w14:w="0" w14:cap="flat" w14:cmpd="sng" w14:algn="ctr">
            <w14:noFill/>
            <w14:prstDash w14:val="solid"/>
            <w14:bevel/>
          </w14:textOutline>
        </w:rPr>
        <w:t>Musha</w:t>
      </w:r>
      <w:proofErr w:type="spellEnd"/>
      <w:r w:rsidRPr="00C27A37">
        <w:rPr>
          <w:rFonts w:eastAsia="Arial Unicode MS"/>
          <w:sz w:val="16"/>
          <w:szCs w:val="16"/>
          <w14:textOutline w14:w="0" w14:cap="flat" w14:cmpd="sng" w14:algn="ctr">
            <w14:noFill/>
            <w14:prstDash w14:val="solid"/>
            <w14:bevel/>
          </w14:textOutline>
        </w:rPr>
        <w:t xml:space="preserve"> JN, et al. Genetic polymorphisms underlying the skeletal Class III phenotype. Am J </w:t>
      </w:r>
      <w:proofErr w:type="spellStart"/>
      <w:r w:rsidRPr="00C27A37">
        <w:rPr>
          <w:rFonts w:eastAsia="Arial Unicode MS"/>
          <w:sz w:val="16"/>
          <w:szCs w:val="16"/>
          <w14:textOutline w14:w="0" w14:cap="flat" w14:cmpd="sng" w14:algn="ctr">
            <w14:noFill/>
            <w14:prstDash w14:val="solid"/>
            <w14:bevel/>
          </w14:textOutline>
        </w:rPr>
        <w:t>Orthod</w:t>
      </w:r>
      <w:proofErr w:type="spellEnd"/>
      <w:r w:rsidRPr="00C27A37">
        <w:rPr>
          <w:rFonts w:eastAsia="Arial Unicode MS"/>
          <w:sz w:val="16"/>
          <w:szCs w:val="16"/>
          <w14:textOutline w14:w="0" w14:cap="flat" w14:cmpd="sng" w14:algn="ctr">
            <w14:noFill/>
            <w14:prstDash w14:val="solid"/>
            <w14:bevel/>
          </w14:textOutline>
        </w:rPr>
        <w:t xml:space="preserve"> </w:t>
      </w:r>
      <w:proofErr w:type="spellStart"/>
      <w:r w:rsidRPr="00C27A37">
        <w:rPr>
          <w:rFonts w:eastAsia="Arial Unicode MS"/>
          <w:sz w:val="16"/>
          <w:szCs w:val="16"/>
          <w14:textOutline w14:w="0" w14:cap="flat" w14:cmpd="sng" w14:algn="ctr">
            <w14:noFill/>
            <w14:prstDash w14:val="solid"/>
            <w14:bevel/>
          </w14:textOutline>
        </w:rPr>
        <w:t>Dentofac</w:t>
      </w:r>
      <w:proofErr w:type="spellEnd"/>
      <w:r w:rsidRPr="00C27A37">
        <w:rPr>
          <w:rFonts w:eastAsia="Arial Unicode MS"/>
          <w:sz w:val="16"/>
          <w:szCs w:val="16"/>
          <w14:textOutline w14:w="0" w14:cap="flat" w14:cmpd="sng" w14:algn="ctr">
            <w14:noFill/>
            <w14:prstDash w14:val="solid"/>
            <w14:bevel/>
          </w14:textOutline>
        </w:rPr>
        <w:t xml:space="preserve"> </w:t>
      </w:r>
      <w:proofErr w:type="spellStart"/>
      <w:r w:rsidRPr="00C27A37">
        <w:rPr>
          <w:rFonts w:eastAsia="Arial Unicode MS"/>
          <w:sz w:val="16"/>
          <w:szCs w:val="16"/>
          <w14:textOutline w14:w="0" w14:cap="flat" w14:cmpd="sng" w14:algn="ctr">
            <w14:noFill/>
            <w14:prstDash w14:val="solid"/>
            <w14:bevel/>
          </w14:textOutline>
        </w:rPr>
        <w:t>Orthop</w:t>
      </w:r>
      <w:proofErr w:type="spellEnd"/>
      <w:r w:rsidRPr="00C27A37">
        <w:rPr>
          <w:rFonts w:eastAsia="Arial Unicode MS"/>
          <w:sz w:val="16"/>
          <w:szCs w:val="16"/>
          <w14:textOutline w14:w="0" w14:cap="flat" w14:cmpd="sng" w14:algn="ctr">
            <w14:noFill/>
            <w14:prstDash w14:val="solid"/>
            <w14:bevel/>
          </w14:textOutline>
        </w:rPr>
        <w:t>. 2017;151:700-7.</w:t>
      </w:r>
      <w:r w:rsidRPr="00C27A37">
        <w:rPr>
          <w:rFonts w:eastAsia="Arial Unicode MS" w:hint="cs"/>
          <w:sz w:val="16"/>
          <w:szCs w:val="16"/>
          <w:rtl/>
          <w14:textOutline w14:w="0" w14:cap="flat" w14:cmpd="sng" w14:algn="ctr">
            <w14:noFill/>
            <w14:prstDash w14:val="solid"/>
            <w14:bevel/>
          </w14:textOutline>
        </w:rPr>
        <w:t xml:space="preserve"> </w:t>
      </w:r>
      <w:hyperlink r:id="rId51" w:history="1">
        <w:r w:rsidRPr="00C27A37">
          <w:rPr>
            <w:rStyle w:val="Hyperlink"/>
            <w:rFonts w:eastAsia="Arial Unicode MS"/>
            <w:sz w:val="16"/>
            <w:szCs w:val="16"/>
            <w14:textOutline w14:w="0" w14:cap="flat" w14:cmpd="sng" w14:algn="ctr">
              <w14:noFill/>
              <w14:prstDash w14:val="solid"/>
              <w14:bevel/>
            </w14:textOutline>
          </w:rPr>
          <w:t>https://doi.org/10.1016/j.ajodo.2016.09.013</w:t>
        </w:r>
      </w:hyperlink>
      <w:r w:rsidRPr="00C27A37">
        <w:rPr>
          <w:rFonts w:eastAsia="Arial Unicode MS" w:hint="cs"/>
          <w:sz w:val="16"/>
          <w:szCs w:val="16"/>
          <w:rtl/>
          <w14:textOutline w14:w="0" w14:cap="flat" w14:cmpd="sng" w14:algn="ctr">
            <w14:noFill/>
            <w14:prstDash w14:val="solid"/>
            <w14:bevel/>
          </w14:textOutline>
        </w:rPr>
        <w:t xml:space="preserve"> </w:t>
      </w:r>
    </w:p>
    <w:p w14:paraId="2223E2A4" w14:textId="050FBE61"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Nie</w:t>
      </w:r>
      <w:proofErr w:type="spellEnd"/>
      <w:r w:rsidRPr="00C27A37">
        <w:rPr>
          <w:rFonts w:eastAsia="Arial Unicode MS"/>
          <w:sz w:val="16"/>
          <w:szCs w:val="16"/>
          <w14:textOutline w14:w="0" w14:cap="flat" w14:cmpd="sng" w14:algn="ctr">
            <w14:noFill/>
            <w14:prstDash w14:val="solid"/>
            <w14:bevel/>
          </w14:textOutline>
        </w:rPr>
        <w:t xml:space="preserve"> X, </w:t>
      </w:r>
      <w:proofErr w:type="spellStart"/>
      <w:r w:rsidRPr="00C27A37">
        <w:rPr>
          <w:rFonts w:eastAsia="Arial Unicode MS"/>
          <w:sz w:val="16"/>
          <w:szCs w:val="16"/>
          <w14:textOutline w14:w="0" w14:cap="flat" w14:cmpd="sng" w14:algn="ctr">
            <w14:noFill/>
            <w14:prstDash w14:val="solid"/>
            <w14:bevel/>
          </w14:textOutline>
        </w:rPr>
        <w:t>Luukko</w:t>
      </w:r>
      <w:proofErr w:type="spellEnd"/>
      <w:r w:rsidRPr="00C27A37">
        <w:rPr>
          <w:rFonts w:eastAsia="Arial Unicode MS"/>
          <w:sz w:val="16"/>
          <w:szCs w:val="16"/>
          <w14:textOutline w14:w="0" w14:cap="flat" w14:cmpd="sng" w14:algn="ctr">
            <w14:noFill/>
            <w14:prstDash w14:val="solid"/>
            <w14:bevel/>
          </w14:textOutline>
        </w:rPr>
        <w:t xml:space="preserve"> K, </w:t>
      </w:r>
      <w:proofErr w:type="spellStart"/>
      <w:r w:rsidRPr="00C27A37">
        <w:rPr>
          <w:rFonts w:eastAsia="Arial Unicode MS"/>
          <w:sz w:val="16"/>
          <w:szCs w:val="16"/>
          <w14:textOutline w14:w="0" w14:cap="flat" w14:cmpd="sng" w14:algn="ctr">
            <w14:noFill/>
            <w14:prstDash w14:val="solid"/>
            <w14:bevel/>
          </w14:textOutline>
        </w:rPr>
        <w:t>Kettunen</w:t>
      </w:r>
      <w:proofErr w:type="spellEnd"/>
      <w:r w:rsidRPr="00C27A37">
        <w:rPr>
          <w:rFonts w:eastAsia="Arial Unicode MS"/>
          <w:sz w:val="16"/>
          <w:szCs w:val="16"/>
          <w14:textOutline w14:w="0" w14:cap="flat" w14:cmpd="sng" w14:algn="ctr">
            <w14:noFill/>
            <w14:prstDash w14:val="solid"/>
            <w14:bevel/>
          </w14:textOutline>
        </w:rPr>
        <w:t xml:space="preserve"> P. FGF </w:t>
      </w:r>
      <w:proofErr w:type="spellStart"/>
      <w:r w:rsidRPr="00C27A37">
        <w:rPr>
          <w:rFonts w:eastAsia="Arial Unicode MS"/>
          <w:sz w:val="16"/>
          <w:szCs w:val="16"/>
          <w14:textOutline w14:w="0" w14:cap="flat" w14:cmpd="sng" w14:algn="ctr">
            <w14:noFill/>
            <w14:prstDash w14:val="solid"/>
            <w14:bevel/>
          </w14:textOutline>
        </w:rPr>
        <w:t>signalling</w:t>
      </w:r>
      <w:proofErr w:type="spellEnd"/>
      <w:r w:rsidRPr="00C27A37">
        <w:rPr>
          <w:rFonts w:eastAsia="Arial Unicode MS"/>
          <w:sz w:val="16"/>
          <w:szCs w:val="16"/>
          <w14:textOutline w14:w="0" w14:cap="flat" w14:cmpd="sng" w14:algn="ctr">
            <w14:noFill/>
            <w14:prstDash w14:val="solid"/>
            <w14:bevel/>
          </w14:textOutline>
        </w:rPr>
        <w:t xml:space="preserve"> in craniofacial development and developmental disorders. Oral Dis. 2006;12:102-11.</w:t>
      </w:r>
      <w:r w:rsidRPr="00C27A37">
        <w:rPr>
          <w:rFonts w:eastAsia="Arial Unicode MS" w:hint="cs"/>
          <w:sz w:val="16"/>
          <w:szCs w:val="16"/>
          <w:rtl/>
          <w14:textOutline w14:w="0" w14:cap="flat" w14:cmpd="sng" w14:algn="ctr">
            <w14:noFill/>
            <w14:prstDash w14:val="solid"/>
            <w14:bevel/>
          </w14:textOutline>
        </w:rPr>
        <w:t xml:space="preserve"> </w:t>
      </w:r>
      <w:hyperlink r:id="rId52" w:history="1">
        <w:r w:rsidRPr="00C27A37">
          <w:rPr>
            <w:rStyle w:val="Hyperlink"/>
            <w:rFonts w:eastAsia="Arial Unicode MS"/>
            <w:sz w:val="16"/>
            <w:szCs w:val="16"/>
            <w14:textOutline w14:w="0" w14:cap="flat" w14:cmpd="sng" w14:algn="ctr">
              <w14:noFill/>
              <w14:prstDash w14:val="solid"/>
              <w14:bevel/>
            </w14:textOutline>
          </w:rPr>
          <w:t>https://doi.org/10.1111/j.1601-0825.2005.01176.x</w:t>
        </w:r>
      </w:hyperlink>
      <w:r w:rsidRPr="00C27A37">
        <w:rPr>
          <w:rFonts w:eastAsia="Arial Unicode MS" w:hint="cs"/>
          <w:sz w:val="16"/>
          <w:szCs w:val="16"/>
          <w:rtl/>
          <w14:textOutline w14:w="0" w14:cap="flat" w14:cmpd="sng" w14:algn="ctr">
            <w14:noFill/>
            <w14:prstDash w14:val="solid"/>
            <w14:bevel/>
          </w14:textOutline>
        </w:rPr>
        <w:t xml:space="preserve"> </w:t>
      </w:r>
    </w:p>
    <w:p w14:paraId="6E4416DD" w14:textId="63C2EE63"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Cuevas VD, Anta L, Samaniego R, </w:t>
      </w:r>
      <w:proofErr w:type="spellStart"/>
      <w:r w:rsidRPr="00C27A37">
        <w:rPr>
          <w:rFonts w:eastAsia="Arial Unicode MS"/>
          <w:sz w:val="16"/>
          <w:szCs w:val="16"/>
          <w14:textOutline w14:w="0" w14:cap="flat" w14:cmpd="sng" w14:algn="ctr">
            <w14:noFill/>
            <w14:prstDash w14:val="solid"/>
            <w14:bevel/>
          </w14:textOutline>
        </w:rPr>
        <w:t>Zavalza</w:t>
      </w:r>
      <w:proofErr w:type="spellEnd"/>
      <w:r w:rsidRPr="00C27A37">
        <w:rPr>
          <w:rFonts w:eastAsia="Arial Unicode MS"/>
          <w:sz w:val="16"/>
          <w:szCs w:val="16"/>
          <w14:textOutline w14:w="0" w14:cap="flat" w14:cmpd="sng" w14:algn="ctr">
            <w14:noFill/>
            <w14:prstDash w14:val="solid"/>
            <w14:bevel/>
          </w14:textOutline>
        </w:rPr>
        <w:t xml:space="preserve"> EO, de la Rosa JV, </w:t>
      </w:r>
      <w:proofErr w:type="spellStart"/>
      <w:r w:rsidRPr="00C27A37">
        <w:rPr>
          <w:rFonts w:eastAsia="Arial Unicode MS"/>
          <w:sz w:val="16"/>
          <w:szCs w:val="16"/>
          <w14:textOutline w14:w="0" w14:cap="flat" w14:cmpd="sng" w14:algn="ctr">
            <w14:noFill/>
            <w14:prstDash w14:val="solid"/>
            <w14:bevel/>
          </w14:textOutline>
        </w:rPr>
        <w:t>Baujat</w:t>
      </w:r>
      <w:proofErr w:type="spellEnd"/>
      <w:r w:rsidRPr="00C27A37">
        <w:rPr>
          <w:rFonts w:eastAsia="Arial Unicode MS"/>
          <w:sz w:val="16"/>
          <w:szCs w:val="16"/>
          <w14:textOutline w14:w="0" w14:cap="flat" w14:cmpd="sng" w14:algn="ctr">
            <w14:noFill/>
            <w14:prstDash w14:val="solid"/>
            <w14:bevel/>
          </w14:textOutline>
        </w:rPr>
        <w:t xml:space="preserve"> G, et al. MAFB Determines Human Macrophage Anti-Inflammatory Polarization: Relevance for the Pathogenic Mechanisms Operating in Multicentric </w:t>
      </w:r>
      <w:proofErr w:type="spellStart"/>
      <w:r w:rsidRPr="00C27A37">
        <w:rPr>
          <w:rFonts w:eastAsia="Arial Unicode MS"/>
          <w:sz w:val="16"/>
          <w:szCs w:val="16"/>
          <w14:textOutline w14:w="0" w14:cap="flat" w14:cmpd="sng" w14:algn="ctr">
            <w14:noFill/>
            <w14:prstDash w14:val="solid"/>
            <w14:bevel/>
          </w14:textOutline>
        </w:rPr>
        <w:t>Carpotarsal</w:t>
      </w:r>
      <w:proofErr w:type="spellEnd"/>
      <w:r w:rsidRPr="00C27A37">
        <w:rPr>
          <w:rFonts w:eastAsia="Arial Unicode MS"/>
          <w:sz w:val="16"/>
          <w:szCs w:val="16"/>
          <w14:textOutline w14:w="0" w14:cap="flat" w14:cmpd="sng" w14:algn="ctr">
            <w14:noFill/>
            <w14:prstDash w14:val="solid"/>
            <w14:bevel/>
          </w14:textOutline>
        </w:rPr>
        <w:t xml:space="preserve"> Osteolysis. J Immunol. 2017;198:2070-81.</w:t>
      </w:r>
      <w:r w:rsidRPr="00C27A37">
        <w:rPr>
          <w:rFonts w:eastAsia="Arial Unicode MS" w:hint="cs"/>
          <w:sz w:val="16"/>
          <w:szCs w:val="16"/>
          <w:rtl/>
          <w14:textOutline w14:w="0" w14:cap="flat" w14:cmpd="sng" w14:algn="ctr">
            <w14:noFill/>
            <w14:prstDash w14:val="solid"/>
            <w14:bevel/>
          </w14:textOutline>
        </w:rPr>
        <w:t xml:space="preserve"> </w:t>
      </w:r>
      <w:hyperlink r:id="rId53" w:history="1">
        <w:r w:rsidRPr="00C27A37">
          <w:rPr>
            <w:rStyle w:val="Hyperlink"/>
            <w:rFonts w:eastAsia="Arial Unicode MS"/>
            <w:sz w:val="16"/>
            <w:szCs w:val="16"/>
            <w14:textOutline w14:w="0" w14:cap="flat" w14:cmpd="sng" w14:algn="ctr">
              <w14:noFill/>
              <w14:prstDash w14:val="solid"/>
              <w14:bevel/>
            </w14:textOutline>
          </w:rPr>
          <w:t>https://doi.org/10.4049/jimmunol.1601667</w:t>
        </w:r>
      </w:hyperlink>
      <w:r w:rsidRPr="00C27A37">
        <w:rPr>
          <w:rFonts w:eastAsia="Arial Unicode MS" w:hint="cs"/>
          <w:sz w:val="16"/>
          <w:szCs w:val="16"/>
          <w:rtl/>
          <w14:textOutline w14:w="0" w14:cap="flat" w14:cmpd="sng" w14:algn="ctr">
            <w14:noFill/>
            <w14:prstDash w14:val="solid"/>
            <w14:bevel/>
          </w14:textOutline>
        </w:rPr>
        <w:t xml:space="preserve"> </w:t>
      </w:r>
    </w:p>
    <w:p w14:paraId="1FB216F8" w14:textId="7802DC29"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lastRenderedPageBreak/>
        <w:t xml:space="preserve">Beaty TH, Murray JC, </w:t>
      </w:r>
      <w:proofErr w:type="spellStart"/>
      <w:r w:rsidRPr="00C27A37">
        <w:rPr>
          <w:rFonts w:eastAsia="Arial Unicode MS"/>
          <w:sz w:val="16"/>
          <w:szCs w:val="16"/>
          <w14:textOutline w14:w="0" w14:cap="flat" w14:cmpd="sng" w14:algn="ctr">
            <w14:noFill/>
            <w14:prstDash w14:val="solid"/>
            <w14:bevel/>
          </w14:textOutline>
        </w:rPr>
        <w:t>Marazita</w:t>
      </w:r>
      <w:proofErr w:type="spellEnd"/>
      <w:r w:rsidRPr="00C27A37">
        <w:rPr>
          <w:rFonts w:eastAsia="Arial Unicode MS"/>
          <w:sz w:val="16"/>
          <w:szCs w:val="16"/>
          <w14:textOutline w14:w="0" w14:cap="flat" w14:cmpd="sng" w14:algn="ctr">
            <w14:noFill/>
            <w14:prstDash w14:val="solid"/>
            <w14:bevel/>
          </w14:textOutline>
        </w:rPr>
        <w:t xml:space="preserve"> ML, Munger RG, </w:t>
      </w:r>
      <w:proofErr w:type="spellStart"/>
      <w:r w:rsidRPr="00C27A37">
        <w:rPr>
          <w:rFonts w:eastAsia="Arial Unicode MS"/>
          <w:sz w:val="16"/>
          <w:szCs w:val="16"/>
          <w14:textOutline w14:w="0" w14:cap="flat" w14:cmpd="sng" w14:algn="ctr">
            <w14:noFill/>
            <w14:prstDash w14:val="solid"/>
            <w14:bevel/>
          </w14:textOutline>
        </w:rPr>
        <w:t>Ruczinski</w:t>
      </w:r>
      <w:proofErr w:type="spellEnd"/>
      <w:r w:rsidRPr="00C27A37">
        <w:rPr>
          <w:rFonts w:eastAsia="Arial Unicode MS"/>
          <w:sz w:val="16"/>
          <w:szCs w:val="16"/>
          <w14:textOutline w14:w="0" w14:cap="flat" w14:cmpd="sng" w14:algn="ctr">
            <w14:noFill/>
            <w14:prstDash w14:val="solid"/>
            <w14:bevel/>
          </w14:textOutline>
        </w:rPr>
        <w:t xml:space="preserve"> I, </w:t>
      </w:r>
      <w:proofErr w:type="spellStart"/>
      <w:r w:rsidRPr="00C27A37">
        <w:rPr>
          <w:rFonts w:eastAsia="Arial Unicode MS"/>
          <w:sz w:val="16"/>
          <w:szCs w:val="16"/>
          <w14:textOutline w14:w="0" w14:cap="flat" w14:cmpd="sng" w14:algn="ctr">
            <w14:noFill/>
            <w14:prstDash w14:val="solid"/>
            <w14:bevel/>
          </w14:textOutline>
        </w:rPr>
        <w:t>Hetmanski</w:t>
      </w:r>
      <w:proofErr w:type="spellEnd"/>
      <w:r w:rsidRPr="00C27A37">
        <w:rPr>
          <w:rFonts w:eastAsia="Arial Unicode MS"/>
          <w:sz w:val="16"/>
          <w:szCs w:val="16"/>
          <w14:textOutline w14:w="0" w14:cap="flat" w14:cmpd="sng" w14:algn="ctr">
            <w14:noFill/>
            <w14:prstDash w14:val="solid"/>
            <w14:bevel/>
          </w14:textOutline>
        </w:rPr>
        <w:t xml:space="preserve"> JB, et al. A genome-wide association study of cleft lip with and without cleft palate identifies risk variants near MAFB and ABCA4. Nat Genet. 2010;42:525-9.</w:t>
      </w:r>
      <w:r w:rsidRPr="00C27A37">
        <w:rPr>
          <w:rFonts w:eastAsia="Arial Unicode MS" w:hint="cs"/>
          <w:sz w:val="16"/>
          <w:szCs w:val="16"/>
          <w:rtl/>
          <w14:textOutline w14:w="0" w14:cap="flat" w14:cmpd="sng" w14:algn="ctr">
            <w14:noFill/>
            <w14:prstDash w14:val="solid"/>
            <w14:bevel/>
          </w14:textOutline>
        </w:rPr>
        <w:t xml:space="preserve"> </w:t>
      </w:r>
      <w:hyperlink r:id="rId54" w:history="1">
        <w:r w:rsidRPr="00C27A37">
          <w:rPr>
            <w:rStyle w:val="Hyperlink"/>
            <w:rFonts w:eastAsia="Arial Unicode MS"/>
            <w:sz w:val="16"/>
            <w:szCs w:val="16"/>
            <w14:textOutline w14:w="0" w14:cap="flat" w14:cmpd="sng" w14:algn="ctr">
              <w14:noFill/>
              <w14:prstDash w14:val="solid"/>
              <w14:bevel/>
            </w14:textOutline>
          </w:rPr>
          <w:t>https://doi.org/10.1038/ng.580</w:t>
        </w:r>
      </w:hyperlink>
      <w:r w:rsidRPr="00C27A37">
        <w:rPr>
          <w:rFonts w:eastAsia="Arial Unicode MS" w:hint="cs"/>
          <w:sz w:val="16"/>
          <w:szCs w:val="16"/>
          <w:rtl/>
          <w14:textOutline w14:w="0" w14:cap="flat" w14:cmpd="sng" w14:algn="ctr">
            <w14:noFill/>
            <w14:prstDash w14:val="solid"/>
            <w14:bevel/>
          </w14:textOutline>
        </w:rPr>
        <w:t xml:space="preserve"> </w:t>
      </w:r>
    </w:p>
    <w:p w14:paraId="0A039E3C" w14:textId="6C95E60A"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proofErr w:type="spellStart"/>
      <w:r w:rsidRPr="00C27A37">
        <w:rPr>
          <w:rFonts w:eastAsia="Arial Unicode MS"/>
          <w:sz w:val="16"/>
          <w:szCs w:val="16"/>
          <w14:textOutline w14:w="0" w14:cap="flat" w14:cmpd="sng" w14:algn="ctr">
            <w14:noFill/>
            <w14:prstDash w14:val="solid"/>
            <w14:bevel/>
          </w14:textOutline>
        </w:rPr>
        <w:t>Eswarakumar</w:t>
      </w:r>
      <w:proofErr w:type="spellEnd"/>
      <w:r w:rsidRPr="00C27A37">
        <w:rPr>
          <w:rFonts w:eastAsia="Arial Unicode MS"/>
          <w:sz w:val="16"/>
          <w:szCs w:val="16"/>
          <w14:textOutline w14:w="0" w14:cap="flat" w14:cmpd="sng" w14:algn="ctr">
            <w14:noFill/>
            <w14:prstDash w14:val="solid"/>
            <w14:bevel/>
          </w14:textOutline>
        </w:rPr>
        <w:t xml:space="preserve"> VP, </w:t>
      </w:r>
      <w:proofErr w:type="spellStart"/>
      <w:r w:rsidRPr="00C27A37">
        <w:rPr>
          <w:rFonts w:eastAsia="Arial Unicode MS"/>
          <w:sz w:val="16"/>
          <w:szCs w:val="16"/>
          <w14:textOutline w14:w="0" w14:cap="flat" w14:cmpd="sng" w14:algn="ctr">
            <w14:noFill/>
            <w14:prstDash w14:val="solid"/>
            <w14:bevel/>
          </w14:textOutline>
        </w:rPr>
        <w:t>Monsonego-ornan</w:t>
      </w:r>
      <w:proofErr w:type="spellEnd"/>
      <w:r w:rsidRPr="00C27A37">
        <w:rPr>
          <w:rFonts w:eastAsia="Arial Unicode MS"/>
          <w:sz w:val="16"/>
          <w:szCs w:val="16"/>
          <w14:textOutline w14:w="0" w14:cap="flat" w14:cmpd="sng" w14:algn="ctr">
            <w14:noFill/>
            <w14:prstDash w14:val="solid"/>
            <w14:bevel/>
          </w14:textOutline>
        </w:rPr>
        <w:t xml:space="preserve"> E, Pines M, </w:t>
      </w:r>
      <w:proofErr w:type="spellStart"/>
      <w:r w:rsidRPr="00C27A37">
        <w:rPr>
          <w:rFonts w:eastAsia="Arial Unicode MS"/>
          <w:sz w:val="16"/>
          <w:szCs w:val="16"/>
          <w14:textOutline w14:w="0" w14:cap="flat" w14:cmpd="sng" w14:algn="ctr">
            <w14:noFill/>
            <w14:prstDash w14:val="solid"/>
            <w14:bevel/>
          </w14:textOutline>
        </w:rPr>
        <w:t>Antonopoulou</w:t>
      </w:r>
      <w:proofErr w:type="spellEnd"/>
      <w:r w:rsidRPr="00C27A37">
        <w:rPr>
          <w:rFonts w:eastAsia="Arial Unicode MS"/>
          <w:sz w:val="16"/>
          <w:szCs w:val="16"/>
          <w14:textOutline w14:w="0" w14:cap="flat" w14:cmpd="sng" w14:algn="ctr">
            <w14:noFill/>
            <w14:prstDash w14:val="solid"/>
            <w14:bevel/>
          </w14:textOutline>
        </w:rPr>
        <w:t xml:space="preserve"> I, Gillian M. The IIIc alternative of Fgfr2 is a positive regulator of bone formation. Development. 2002;129:3783-93.</w:t>
      </w:r>
      <w:r w:rsidRPr="00C27A37">
        <w:rPr>
          <w:rFonts w:eastAsia="Arial Unicode MS" w:hint="cs"/>
          <w:sz w:val="16"/>
          <w:szCs w:val="16"/>
          <w:rtl/>
          <w14:textOutline w14:w="0" w14:cap="flat" w14:cmpd="sng" w14:algn="ctr">
            <w14:noFill/>
            <w14:prstDash w14:val="solid"/>
            <w14:bevel/>
          </w14:textOutline>
        </w:rPr>
        <w:t xml:space="preserve"> </w:t>
      </w:r>
      <w:hyperlink r:id="rId55" w:history="1">
        <w:r w:rsidRPr="00C27A37">
          <w:rPr>
            <w:rStyle w:val="Hyperlink"/>
            <w:rFonts w:eastAsia="Arial Unicode MS"/>
            <w:sz w:val="16"/>
            <w:szCs w:val="16"/>
            <w14:textOutline w14:w="0" w14:cap="flat" w14:cmpd="sng" w14:algn="ctr">
              <w14:noFill/>
              <w14:prstDash w14:val="solid"/>
              <w14:bevel/>
            </w14:textOutline>
          </w:rPr>
          <w:t>https://doi.org/10.1242/dev.129.16.3783</w:t>
        </w:r>
      </w:hyperlink>
      <w:r w:rsidRPr="00C27A37">
        <w:rPr>
          <w:rFonts w:eastAsia="Arial Unicode MS" w:hint="cs"/>
          <w:sz w:val="16"/>
          <w:szCs w:val="16"/>
          <w:rtl/>
          <w14:textOutline w14:w="0" w14:cap="flat" w14:cmpd="sng" w14:algn="ctr">
            <w14:noFill/>
            <w14:prstDash w14:val="solid"/>
            <w14:bevel/>
          </w14:textOutline>
        </w:rPr>
        <w:t xml:space="preserve"> </w:t>
      </w:r>
    </w:p>
    <w:p w14:paraId="224A0460" w14:textId="79BC20F6"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Xiao L, </w:t>
      </w:r>
      <w:proofErr w:type="spellStart"/>
      <w:r w:rsidRPr="00C27A37">
        <w:rPr>
          <w:rFonts w:eastAsia="Arial Unicode MS"/>
          <w:sz w:val="16"/>
          <w:szCs w:val="16"/>
          <w14:textOutline w14:w="0" w14:cap="flat" w14:cmpd="sng" w14:algn="ctr">
            <w14:noFill/>
            <w14:prstDash w14:val="solid"/>
            <w14:bevel/>
          </w14:textOutline>
        </w:rPr>
        <w:t>Naganawa</w:t>
      </w:r>
      <w:proofErr w:type="spellEnd"/>
      <w:r w:rsidRPr="00C27A37">
        <w:rPr>
          <w:rFonts w:eastAsia="Arial Unicode MS"/>
          <w:sz w:val="16"/>
          <w:szCs w:val="16"/>
          <w14:textOutline w14:w="0" w14:cap="flat" w14:cmpd="sng" w14:algn="ctr">
            <w14:noFill/>
            <w14:prstDash w14:val="solid"/>
            <w14:bevel/>
          </w14:textOutline>
        </w:rPr>
        <w:t xml:space="preserve"> T, </w:t>
      </w:r>
      <w:proofErr w:type="spellStart"/>
      <w:r w:rsidRPr="00C27A37">
        <w:rPr>
          <w:rFonts w:eastAsia="Arial Unicode MS"/>
          <w:sz w:val="16"/>
          <w:szCs w:val="16"/>
          <w14:textOutline w14:w="0" w14:cap="flat" w14:cmpd="sng" w14:algn="ctr">
            <w14:noFill/>
            <w14:prstDash w14:val="solid"/>
            <w14:bevel/>
          </w14:textOutline>
        </w:rPr>
        <w:t>Obugunde</w:t>
      </w:r>
      <w:proofErr w:type="spellEnd"/>
      <w:r w:rsidRPr="00C27A37">
        <w:rPr>
          <w:rFonts w:eastAsia="Arial Unicode MS"/>
          <w:sz w:val="16"/>
          <w:szCs w:val="16"/>
          <w14:textOutline w14:w="0" w14:cap="flat" w14:cmpd="sng" w14:algn="ctr">
            <w14:noFill/>
            <w14:prstDash w14:val="solid"/>
            <w14:bevel/>
          </w14:textOutline>
        </w:rPr>
        <w:t xml:space="preserve"> E, </w:t>
      </w:r>
      <w:proofErr w:type="spellStart"/>
      <w:r w:rsidRPr="00C27A37">
        <w:rPr>
          <w:rFonts w:eastAsia="Arial Unicode MS"/>
          <w:sz w:val="16"/>
          <w:szCs w:val="16"/>
          <w14:textOutline w14:w="0" w14:cap="flat" w14:cmpd="sng" w14:algn="ctr">
            <w14:noFill/>
            <w14:prstDash w14:val="solid"/>
            <w14:bevel/>
          </w14:textOutline>
        </w:rPr>
        <w:t>Gronowicz</w:t>
      </w:r>
      <w:proofErr w:type="spellEnd"/>
      <w:r w:rsidRPr="00C27A37">
        <w:rPr>
          <w:rFonts w:eastAsia="Arial Unicode MS"/>
          <w:sz w:val="16"/>
          <w:szCs w:val="16"/>
          <w14:textOutline w14:w="0" w14:cap="flat" w14:cmpd="sng" w14:algn="ctr">
            <w14:noFill/>
            <w14:prstDash w14:val="solid"/>
            <w14:bevel/>
          </w14:textOutline>
        </w:rPr>
        <w:t xml:space="preserve"> G, </w:t>
      </w:r>
      <w:proofErr w:type="spellStart"/>
      <w:r w:rsidRPr="00C27A37">
        <w:rPr>
          <w:rFonts w:eastAsia="Arial Unicode MS"/>
          <w:sz w:val="16"/>
          <w:szCs w:val="16"/>
          <w14:textOutline w14:w="0" w14:cap="flat" w14:cmpd="sng" w14:algn="ctr">
            <w14:noFill/>
            <w14:prstDash w14:val="solid"/>
            <w14:bevel/>
          </w14:textOutline>
        </w:rPr>
        <w:t>Ornitz</w:t>
      </w:r>
      <w:proofErr w:type="spellEnd"/>
      <w:r w:rsidRPr="00C27A37">
        <w:rPr>
          <w:rFonts w:eastAsia="Arial Unicode MS"/>
          <w:sz w:val="16"/>
          <w:szCs w:val="16"/>
          <w14:textOutline w14:w="0" w14:cap="flat" w14:cmpd="sng" w14:algn="ctr">
            <w14:noFill/>
            <w14:prstDash w14:val="solid"/>
            <w14:bevel/>
          </w14:textOutline>
        </w:rPr>
        <w:t xml:space="preserve"> DM, Coffin JD, et al. Stat1 controls postnatal bone formation by regulating fibroblast growth factor signaling in osteoblasts. J Biol Chem. 2004;279:27743-52.</w:t>
      </w:r>
      <w:r w:rsidRPr="00C27A37">
        <w:rPr>
          <w:rFonts w:eastAsia="Arial Unicode MS" w:hint="cs"/>
          <w:sz w:val="16"/>
          <w:szCs w:val="16"/>
          <w:rtl/>
          <w14:textOutline w14:w="0" w14:cap="flat" w14:cmpd="sng" w14:algn="ctr">
            <w14:noFill/>
            <w14:prstDash w14:val="solid"/>
            <w14:bevel/>
          </w14:textOutline>
        </w:rPr>
        <w:t xml:space="preserve"> </w:t>
      </w:r>
      <w:hyperlink r:id="rId56" w:history="1">
        <w:r w:rsidRPr="00C27A37">
          <w:rPr>
            <w:rStyle w:val="Hyperlink"/>
            <w:rFonts w:eastAsia="Arial Unicode MS"/>
            <w:sz w:val="16"/>
            <w:szCs w:val="16"/>
            <w14:textOutline w14:w="0" w14:cap="flat" w14:cmpd="sng" w14:algn="ctr">
              <w14:noFill/>
              <w14:prstDash w14:val="solid"/>
              <w14:bevel/>
            </w14:textOutline>
          </w:rPr>
          <w:t>https://doi.org/10.1074/jbc.M314323200</w:t>
        </w:r>
      </w:hyperlink>
      <w:r w:rsidRPr="00C27A37">
        <w:rPr>
          <w:rFonts w:eastAsia="Arial Unicode MS" w:hint="cs"/>
          <w:sz w:val="16"/>
          <w:szCs w:val="16"/>
          <w:rtl/>
          <w14:textOutline w14:w="0" w14:cap="flat" w14:cmpd="sng" w14:algn="ctr">
            <w14:noFill/>
            <w14:prstDash w14:val="solid"/>
            <w14:bevel/>
          </w14:textOutline>
        </w:rPr>
        <w:t xml:space="preserve"> </w:t>
      </w:r>
    </w:p>
    <w:p w14:paraId="6C3D6C3D" w14:textId="08689F57" w:rsidR="008F6707"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Kim HJ, Rice DPC, </w:t>
      </w:r>
      <w:proofErr w:type="spellStart"/>
      <w:r w:rsidRPr="00C27A37">
        <w:rPr>
          <w:rFonts w:eastAsia="Arial Unicode MS"/>
          <w:sz w:val="16"/>
          <w:szCs w:val="16"/>
          <w14:textOutline w14:w="0" w14:cap="flat" w14:cmpd="sng" w14:algn="ctr">
            <w14:noFill/>
            <w14:prstDash w14:val="solid"/>
            <w14:bevel/>
          </w14:textOutline>
        </w:rPr>
        <w:t>Kettunen</w:t>
      </w:r>
      <w:proofErr w:type="spellEnd"/>
      <w:r w:rsidRPr="00C27A37">
        <w:rPr>
          <w:rFonts w:eastAsia="Arial Unicode MS"/>
          <w:sz w:val="16"/>
          <w:szCs w:val="16"/>
          <w14:textOutline w14:w="0" w14:cap="flat" w14:cmpd="sng" w14:algn="ctr">
            <w14:noFill/>
            <w14:prstDash w14:val="solid"/>
            <w14:bevel/>
          </w14:textOutline>
        </w:rPr>
        <w:t xml:space="preserve"> PJ, </w:t>
      </w:r>
      <w:proofErr w:type="spellStart"/>
      <w:r w:rsidRPr="00C27A37">
        <w:rPr>
          <w:rFonts w:eastAsia="Arial Unicode MS"/>
          <w:sz w:val="16"/>
          <w:szCs w:val="16"/>
          <w14:textOutline w14:w="0" w14:cap="flat" w14:cmpd="sng" w14:algn="ctr">
            <w14:noFill/>
            <w14:prstDash w14:val="solid"/>
            <w14:bevel/>
          </w14:textOutline>
        </w:rPr>
        <w:t>Thesleff</w:t>
      </w:r>
      <w:proofErr w:type="spellEnd"/>
      <w:r w:rsidRPr="00C27A37">
        <w:rPr>
          <w:rFonts w:eastAsia="Arial Unicode MS"/>
          <w:sz w:val="16"/>
          <w:szCs w:val="16"/>
          <w14:textOutline w14:w="0" w14:cap="flat" w14:cmpd="sng" w14:algn="ctr">
            <w14:noFill/>
            <w14:prstDash w14:val="solid"/>
            <w14:bevel/>
          </w14:textOutline>
        </w:rPr>
        <w:t xml:space="preserve"> I. FGF-, BMP- and Shh-mediated </w:t>
      </w:r>
      <w:proofErr w:type="spellStart"/>
      <w:r w:rsidRPr="00C27A37">
        <w:rPr>
          <w:rFonts w:eastAsia="Arial Unicode MS"/>
          <w:sz w:val="16"/>
          <w:szCs w:val="16"/>
          <w14:textOutline w14:w="0" w14:cap="flat" w14:cmpd="sng" w14:algn="ctr">
            <w14:noFill/>
            <w14:prstDash w14:val="solid"/>
            <w14:bevel/>
          </w14:textOutline>
        </w:rPr>
        <w:t>signalling</w:t>
      </w:r>
      <w:proofErr w:type="spellEnd"/>
      <w:r w:rsidRPr="00C27A37">
        <w:rPr>
          <w:rFonts w:eastAsia="Arial Unicode MS"/>
          <w:sz w:val="16"/>
          <w:szCs w:val="16"/>
          <w14:textOutline w14:w="0" w14:cap="flat" w14:cmpd="sng" w14:algn="ctr">
            <w14:noFill/>
            <w14:prstDash w14:val="solid"/>
            <w14:bevel/>
          </w14:textOutline>
        </w:rPr>
        <w:t xml:space="preserve"> pathways in the regulation of cranial suture morphogenesis and </w:t>
      </w:r>
      <w:proofErr w:type="spellStart"/>
      <w:r w:rsidRPr="00C27A37">
        <w:rPr>
          <w:rFonts w:eastAsia="Arial Unicode MS"/>
          <w:sz w:val="16"/>
          <w:szCs w:val="16"/>
          <w14:textOutline w14:w="0" w14:cap="flat" w14:cmpd="sng" w14:algn="ctr">
            <w14:noFill/>
            <w14:prstDash w14:val="solid"/>
            <w14:bevel/>
          </w14:textOutline>
        </w:rPr>
        <w:t>calvarial</w:t>
      </w:r>
      <w:proofErr w:type="spellEnd"/>
      <w:r w:rsidRPr="00C27A37">
        <w:rPr>
          <w:rFonts w:eastAsia="Arial Unicode MS"/>
          <w:sz w:val="16"/>
          <w:szCs w:val="16"/>
          <w14:textOutline w14:w="0" w14:cap="flat" w14:cmpd="sng" w14:algn="ctr">
            <w14:noFill/>
            <w14:prstDash w14:val="solid"/>
            <w14:bevel/>
          </w14:textOutline>
        </w:rPr>
        <w:t xml:space="preserve"> bone development. Development. 1998;125:1241-51.</w:t>
      </w:r>
      <w:r w:rsidRPr="00C27A37">
        <w:rPr>
          <w:rFonts w:eastAsia="Arial Unicode MS" w:hint="cs"/>
          <w:sz w:val="16"/>
          <w:szCs w:val="16"/>
          <w:rtl/>
          <w14:textOutline w14:w="0" w14:cap="flat" w14:cmpd="sng" w14:algn="ctr">
            <w14:noFill/>
            <w14:prstDash w14:val="solid"/>
            <w14:bevel/>
          </w14:textOutline>
        </w:rPr>
        <w:t xml:space="preserve"> </w:t>
      </w:r>
      <w:hyperlink r:id="rId57" w:history="1">
        <w:r w:rsidRPr="00C27A37">
          <w:rPr>
            <w:rStyle w:val="Hyperlink"/>
            <w:rFonts w:eastAsia="Arial Unicode MS"/>
            <w:sz w:val="16"/>
            <w:szCs w:val="16"/>
            <w14:textOutline w14:w="0" w14:cap="flat" w14:cmpd="sng" w14:algn="ctr">
              <w14:noFill/>
              <w14:prstDash w14:val="solid"/>
              <w14:bevel/>
            </w14:textOutline>
          </w:rPr>
          <w:t>https://doi.org/10.1242/dev.125.7.1241</w:t>
        </w:r>
      </w:hyperlink>
      <w:r w:rsidRPr="00C27A37">
        <w:rPr>
          <w:rFonts w:eastAsia="Arial Unicode MS" w:hint="cs"/>
          <w:sz w:val="16"/>
          <w:szCs w:val="16"/>
          <w:rtl/>
          <w14:textOutline w14:w="0" w14:cap="flat" w14:cmpd="sng" w14:algn="ctr">
            <w14:noFill/>
            <w14:prstDash w14:val="solid"/>
            <w14:bevel/>
          </w14:textOutline>
        </w:rPr>
        <w:t xml:space="preserve"> </w:t>
      </w:r>
    </w:p>
    <w:p w14:paraId="2E9D89E1" w14:textId="1EFC8DF7" w:rsidR="007613C2" w:rsidRPr="00C27A37" w:rsidRDefault="008F6707" w:rsidP="00C27A37">
      <w:pPr>
        <w:pStyle w:val="ListParagraph"/>
        <w:widowControl w:val="0"/>
        <w:numPr>
          <w:ilvl w:val="0"/>
          <w:numId w:val="28"/>
        </w:numPr>
        <w:autoSpaceDE w:val="0"/>
        <w:autoSpaceDN w:val="0"/>
        <w:adjustRightInd w:val="0"/>
        <w:spacing w:before="240" w:after="60" w:line="240" w:lineRule="auto"/>
        <w:ind w:left="1080"/>
        <w:rPr>
          <w:rFonts w:eastAsia="Arial Unicode MS"/>
          <w:sz w:val="16"/>
          <w:szCs w:val="16"/>
          <w:rtl/>
          <w14:textOutline w14:w="0" w14:cap="flat" w14:cmpd="sng" w14:algn="ctr">
            <w14:noFill/>
            <w14:prstDash w14:val="solid"/>
            <w14:bevel/>
          </w14:textOutline>
        </w:rPr>
      </w:pPr>
      <w:r w:rsidRPr="00C27A37">
        <w:rPr>
          <w:rFonts w:eastAsia="Arial Unicode MS"/>
          <w:sz w:val="16"/>
          <w:szCs w:val="16"/>
          <w14:textOutline w14:w="0" w14:cap="flat" w14:cmpd="sng" w14:algn="ctr">
            <w14:noFill/>
            <w14:prstDash w14:val="solid"/>
            <w14:bevel/>
          </w14:textOutline>
        </w:rPr>
        <w:t xml:space="preserve">Kircher M, Kelso J. High-throughput DNA sequencing - Concepts and limitations. </w:t>
      </w:r>
      <w:proofErr w:type="spellStart"/>
      <w:r w:rsidRPr="00C27A37">
        <w:rPr>
          <w:rFonts w:eastAsia="Arial Unicode MS"/>
          <w:sz w:val="16"/>
          <w:szCs w:val="16"/>
          <w14:textOutline w14:w="0" w14:cap="flat" w14:cmpd="sng" w14:algn="ctr">
            <w14:noFill/>
            <w14:prstDash w14:val="solid"/>
            <w14:bevel/>
          </w14:textOutline>
        </w:rPr>
        <w:t>BioEssays</w:t>
      </w:r>
      <w:proofErr w:type="spellEnd"/>
      <w:r w:rsidRPr="00C27A37">
        <w:rPr>
          <w:rFonts w:eastAsia="Arial Unicode MS"/>
          <w:sz w:val="16"/>
          <w:szCs w:val="16"/>
          <w14:textOutline w14:w="0" w14:cap="flat" w14:cmpd="sng" w14:algn="ctr">
            <w14:noFill/>
            <w14:prstDash w14:val="solid"/>
            <w14:bevel/>
          </w14:textOutline>
        </w:rPr>
        <w:t>. 2010;32:524-36.</w:t>
      </w:r>
      <w:r w:rsidRPr="00C27A37">
        <w:rPr>
          <w:rFonts w:eastAsia="Arial Unicode MS" w:hint="cs"/>
          <w:sz w:val="16"/>
          <w:szCs w:val="16"/>
          <w:rtl/>
          <w14:textOutline w14:w="0" w14:cap="flat" w14:cmpd="sng" w14:algn="ctr">
            <w14:noFill/>
            <w14:prstDash w14:val="solid"/>
            <w14:bevel/>
          </w14:textOutline>
        </w:rPr>
        <w:t xml:space="preserve"> </w:t>
      </w:r>
      <w:hyperlink r:id="rId58" w:history="1">
        <w:r w:rsidRPr="00C27A37">
          <w:rPr>
            <w:rStyle w:val="Hyperlink"/>
            <w:rFonts w:eastAsia="Arial Unicode MS"/>
            <w:sz w:val="16"/>
            <w:szCs w:val="16"/>
            <w14:textOutline w14:w="0" w14:cap="flat" w14:cmpd="sng" w14:algn="ctr">
              <w14:noFill/>
              <w14:prstDash w14:val="solid"/>
              <w14:bevel/>
            </w14:textOutline>
          </w:rPr>
          <w:t>https://doi.org/10.1002/bies.200900181</w:t>
        </w:r>
      </w:hyperlink>
      <w:r w:rsidRPr="00C27A37">
        <w:rPr>
          <w:rFonts w:eastAsia="Arial Unicode MS" w:hint="cs"/>
          <w:sz w:val="16"/>
          <w:szCs w:val="16"/>
          <w:rtl/>
          <w14:textOutline w14:w="0" w14:cap="flat" w14:cmpd="sng" w14:algn="ctr">
            <w14:noFill/>
            <w14:prstDash w14:val="solid"/>
            <w14:bevel/>
          </w14:textOutline>
        </w:rPr>
        <w:t xml:space="preserve"> </w:t>
      </w:r>
    </w:p>
    <w:p w14:paraId="6E598CFC" w14:textId="77777777" w:rsidR="008F6707" w:rsidRPr="008F6707" w:rsidRDefault="008F6707" w:rsidP="008F6707">
      <w:pPr>
        <w:widowControl w:val="0"/>
        <w:autoSpaceDE w:val="0"/>
        <w:autoSpaceDN w:val="0"/>
        <w:bidi/>
        <w:adjustRightInd w:val="0"/>
        <w:spacing w:line="240" w:lineRule="auto"/>
        <w:ind w:left="386" w:right="720" w:firstLine="0"/>
        <w:rPr>
          <w:rFonts w:eastAsia="Arial Unicode MS" w:cs="Palatino Linotype"/>
          <w:noProof w:val="0"/>
          <w:sz w:val="16"/>
          <w:szCs w:val="16"/>
          <w:u w:color="000000"/>
          <w:bdr w:val="nil"/>
          <w:lang w:eastAsia="en-US"/>
          <w14:textOutline w14:w="0" w14:cap="flat" w14:cmpd="sng" w14:algn="ctr">
            <w14:noFill/>
            <w14:prstDash w14:val="solid"/>
            <w14:bevel/>
          </w14:textOutline>
        </w:rPr>
      </w:pPr>
    </w:p>
    <w:p w14:paraId="6CBF5A8C" w14:textId="1C09A85B" w:rsidR="007613C2" w:rsidRPr="003F4AB3" w:rsidRDefault="007613C2" w:rsidP="008F6707">
      <w:pPr>
        <w:bidi/>
        <w:ind w:left="386" w:right="720" w:firstLine="0"/>
        <w:rPr>
          <w:rFonts w:ascii="Times New Roman" w:eastAsia="Calibri Light" w:hAnsi="Times New Roman"/>
          <w:b/>
          <w:bCs/>
          <w:sz w:val="18"/>
          <w:szCs w:val="18"/>
          <w:rtl/>
          <w:lang w:bidi="ar-IQ"/>
        </w:rPr>
      </w:pPr>
      <w:r w:rsidRPr="003F4AB3">
        <w:rPr>
          <w:rFonts w:ascii="Times New Roman" w:eastAsia="Calibri Light" w:hAnsi="Times New Roman"/>
          <w:b/>
          <w:bCs/>
          <w:sz w:val="18"/>
          <w:szCs w:val="18"/>
          <w:rtl/>
        </w:rPr>
        <w:t>تعدد الأشكال الجينية للمرضى الذين يعانون من سوء الإطباق من الدرجة الثالثة. دراسة تجريبي</w:t>
      </w:r>
      <w:r w:rsidR="000135C5" w:rsidRPr="003F4AB3">
        <w:rPr>
          <w:rFonts w:ascii="Times New Roman" w:eastAsia="Calibri Light" w:hAnsi="Times New Roman" w:hint="cs"/>
          <w:b/>
          <w:bCs/>
          <w:sz w:val="18"/>
          <w:szCs w:val="18"/>
          <w:rtl/>
          <w:lang w:bidi="ar-IQ"/>
        </w:rPr>
        <w:t>ة</w:t>
      </w:r>
    </w:p>
    <w:p w14:paraId="6BA8319C" w14:textId="1C7ADD90" w:rsidR="008F6707" w:rsidRPr="003F4AB3" w:rsidRDefault="008F6707" w:rsidP="008F6707">
      <w:pPr>
        <w:bidi/>
        <w:ind w:left="386" w:right="720" w:firstLine="0"/>
        <w:rPr>
          <w:rFonts w:ascii="Times New Roman" w:eastAsia="Calibri Light" w:hAnsi="Times New Roman"/>
          <w:b/>
          <w:bCs/>
          <w:sz w:val="18"/>
          <w:szCs w:val="18"/>
          <w:rtl/>
          <w:lang w:bidi="ar-IQ"/>
        </w:rPr>
      </w:pPr>
      <w:r w:rsidRPr="003F4AB3">
        <w:rPr>
          <w:rFonts w:ascii="Times New Roman" w:eastAsia="Calibri Light" w:hAnsi="Times New Roman" w:hint="cs"/>
          <w:b/>
          <w:bCs/>
          <w:sz w:val="18"/>
          <w:szCs w:val="18"/>
          <w:rtl/>
          <w:lang w:bidi="ar-IQ"/>
        </w:rPr>
        <w:t>اية محمد بهيه, مشرق فوزي عبد, الهام الصحافي</w:t>
      </w:r>
    </w:p>
    <w:p w14:paraId="54851A43" w14:textId="4BFAB75B" w:rsidR="007613C2" w:rsidRPr="003F4AB3" w:rsidRDefault="007613C2" w:rsidP="008F6707">
      <w:pPr>
        <w:pStyle w:val="Body"/>
        <w:bidi/>
        <w:spacing w:line="240" w:lineRule="auto"/>
        <w:ind w:left="386" w:right="720" w:firstLine="0"/>
        <w:contextualSpacing/>
        <w:rPr>
          <w:rFonts w:eastAsia="Calibri Light" w:cs="Times New Roman"/>
          <w:sz w:val="18"/>
          <w:szCs w:val="18"/>
          <w:rtl/>
        </w:rPr>
      </w:pPr>
      <w:r w:rsidRPr="003F4AB3">
        <w:rPr>
          <w:rFonts w:ascii="Times New Roman" w:eastAsia="Calibri Light" w:hAnsi="Times New Roman" w:cs="Times New Roman" w:hint="cs"/>
          <w:b/>
          <w:bCs/>
          <w:sz w:val="18"/>
          <w:szCs w:val="18"/>
          <w:rtl/>
        </w:rPr>
        <w:t>المستخلص</w:t>
      </w:r>
      <w:r w:rsidRPr="003F4AB3">
        <w:rPr>
          <w:rFonts w:eastAsia="Calibri Light" w:cs="Calibri Light" w:hint="cs"/>
          <w:sz w:val="18"/>
          <w:szCs w:val="18"/>
          <w:rtl/>
        </w:rPr>
        <w:t>:</w:t>
      </w:r>
    </w:p>
    <w:p w14:paraId="4BE0369C" w14:textId="73550A94" w:rsidR="0052645F" w:rsidRPr="008F6707" w:rsidRDefault="00CC3469" w:rsidP="008F6707">
      <w:pPr>
        <w:pStyle w:val="Body"/>
        <w:bidi/>
        <w:spacing w:line="240" w:lineRule="auto"/>
        <w:ind w:left="386" w:right="720" w:firstLine="0"/>
        <w:contextualSpacing/>
        <w:rPr>
          <w:rFonts w:eastAsia="Calibri Light" w:cs="Times New Roman"/>
          <w:sz w:val="16"/>
          <w:szCs w:val="16"/>
          <w:rtl/>
        </w:rPr>
      </w:pPr>
      <w:r w:rsidRPr="00CC3469">
        <w:rPr>
          <w:rFonts w:eastAsia="Calibri Light" w:cs="Times New Roman"/>
          <w:sz w:val="16"/>
          <w:szCs w:val="16"/>
          <w:rtl/>
        </w:rPr>
        <w:t>خلفية</w:t>
      </w:r>
      <w:r w:rsidRPr="00CC3469">
        <w:rPr>
          <w:rFonts w:eastAsia="Calibri Light" w:cs="Calibri Light"/>
          <w:sz w:val="16"/>
          <w:szCs w:val="16"/>
          <w:rtl/>
        </w:rPr>
        <w:t xml:space="preserve">: </w:t>
      </w:r>
      <w:r w:rsidRPr="00CC3469">
        <w:rPr>
          <w:rFonts w:eastAsia="Calibri Light" w:cs="Times New Roman"/>
          <w:sz w:val="16"/>
          <w:szCs w:val="16"/>
          <w:rtl/>
        </w:rPr>
        <w:t>قد تفسر تفاعلات العوامل الوراثية والبيئية التباين في التعبير عن سوء الإطباق</w:t>
      </w:r>
      <w:r w:rsidRPr="00CC3469">
        <w:rPr>
          <w:rFonts w:eastAsia="Calibri Light" w:cs="Calibri Light"/>
          <w:sz w:val="16"/>
          <w:szCs w:val="16"/>
          <w:rtl/>
        </w:rPr>
        <w:t xml:space="preserve">. </w:t>
      </w:r>
      <w:r w:rsidRPr="00CC3469">
        <w:rPr>
          <w:rFonts w:eastAsia="Calibri Light" w:cs="Times New Roman"/>
          <w:sz w:val="16"/>
          <w:szCs w:val="16"/>
          <w:rtl/>
        </w:rPr>
        <w:t>لا يكمن التعقيد المسبب للمرض في التعبير غير المتوقع فحسب ، بل يكمن أيضا في الطيف الواسع من تباين الوجه والأسنان الموجود في الأفراد المصابين</w:t>
      </w:r>
      <w:r w:rsidRPr="00CC3469">
        <w:rPr>
          <w:rFonts w:eastAsia="Calibri Light" w:cs="Calibri Light"/>
          <w:sz w:val="16"/>
          <w:szCs w:val="16"/>
          <w:rtl/>
        </w:rPr>
        <w:t xml:space="preserve">. </w:t>
      </w:r>
      <w:r w:rsidRPr="00CC3469">
        <w:rPr>
          <w:rFonts w:eastAsia="Calibri Light" w:cs="Times New Roman"/>
          <w:sz w:val="16"/>
          <w:szCs w:val="16"/>
          <w:rtl/>
        </w:rPr>
        <w:t>يفسر هذا التعقيد جزئيا سبب توجيه معظم مناهج علاج سوء الإطباق إلى الأعراض بدلا من المسببات</w:t>
      </w:r>
      <w:r w:rsidRPr="00CC3469">
        <w:rPr>
          <w:rFonts w:eastAsia="Calibri Light" w:cs="Calibri Light"/>
          <w:sz w:val="16"/>
          <w:szCs w:val="16"/>
          <w:rtl/>
        </w:rPr>
        <w:t xml:space="preserve">. </w:t>
      </w:r>
      <w:r w:rsidRPr="00CC3469">
        <w:rPr>
          <w:rFonts w:eastAsia="Calibri Light" w:cs="Times New Roman"/>
          <w:sz w:val="16"/>
          <w:szCs w:val="16"/>
          <w:rtl/>
        </w:rPr>
        <w:t>ومع ذلك ، على الرغم من هذا التعقيد ، فإن دراسة مسببات سوء الإطباق أمر أساسي لفهم البيولوجيا الكامنة وراء النمو القحفي الوجهي وعلاقات الأسنان</w:t>
      </w:r>
      <w:r w:rsidRPr="00CC3469">
        <w:rPr>
          <w:rFonts w:eastAsia="Calibri Light" w:cs="Calibri Light"/>
          <w:sz w:val="16"/>
          <w:szCs w:val="16"/>
          <w:rtl/>
        </w:rPr>
        <w:t xml:space="preserve">. </w:t>
      </w:r>
      <w:r w:rsidRPr="00CC3469">
        <w:rPr>
          <w:rFonts w:eastAsia="Calibri Light" w:cs="Times New Roman"/>
          <w:sz w:val="16"/>
          <w:szCs w:val="16"/>
          <w:rtl/>
        </w:rPr>
        <w:t>إن فهم البيولوجيا سيساعد على التقدم نحو العلاج الفعال والوقاية ، وبالتالي تقليل عبء هذه الحالة</w:t>
      </w:r>
      <w:r w:rsidRPr="00CC3469">
        <w:rPr>
          <w:rFonts w:eastAsia="Calibri Light" w:cs="Calibri Light"/>
          <w:sz w:val="16"/>
          <w:szCs w:val="16"/>
          <w:rtl/>
        </w:rPr>
        <w:t xml:space="preserve">. </w:t>
      </w:r>
      <w:r w:rsidRPr="00CC3469">
        <w:rPr>
          <w:rFonts w:eastAsia="Calibri Light" w:cs="Times New Roman"/>
          <w:sz w:val="16"/>
          <w:szCs w:val="16"/>
          <w:rtl/>
        </w:rPr>
        <w:t>الأهداف</w:t>
      </w:r>
      <w:r w:rsidRPr="00CC3469">
        <w:rPr>
          <w:rFonts w:eastAsia="Calibri Light" w:cs="Calibri Light"/>
          <w:sz w:val="16"/>
          <w:szCs w:val="16"/>
          <w:rtl/>
        </w:rPr>
        <w:t xml:space="preserve">: </w:t>
      </w:r>
      <w:r w:rsidRPr="00CC3469">
        <w:rPr>
          <w:rFonts w:eastAsia="Calibri Light" w:cs="Times New Roman"/>
          <w:sz w:val="16"/>
          <w:szCs w:val="16"/>
          <w:rtl/>
        </w:rPr>
        <w:t xml:space="preserve">تم إعداد هذه الدراسة للتحقيق في ارتباط تعدد الأشكال في الجينات المختلفة </w:t>
      </w:r>
      <w:r w:rsidRPr="00CC3469">
        <w:rPr>
          <w:rFonts w:eastAsia="Calibri Light" w:cs="Calibri Light"/>
          <w:sz w:val="16"/>
          <w:szCs w:val="16"/>
        </w:rPr>
        <w:t xml:space="preserve">(rs2249492 in </w:t>
      </w:r>
      <w:r w:rsidRPr="00CC3469">
        <w:rPr>
          <w:rFonts w:eastAsia="Calibri Light" w:cs="Calibri Light"/>
          <w:i/>
          <w:iCs/>
          <w:sz w:val="16"/>
          <w:szCs w:val="16"/>
        </w:rPr>
        <w:t>COLA1A</w:t>
      </w:r>
      <w:r w:rsidRPr="00CC3469">
        <w:rPr>
          <w:rFonts w:eastAsia="Calibri Light" w:cs="Calibri Light"/>
          <w:sz w:val="16"/>
          <w:szCs w:val="16"/>
        </w:rPr>
        <w:t xml:space="preserve">, rs4434184 in </w:t>
      </w:r>
      <w:r w:rsidRPr="00CC3469">
        <w:rPr>
          <w:rFonts w:eastAsia="Calibri Light" w:cs="Calibri Light"/>
          <w:i/>
          <w:iCs/>
          <w:sz w:val="16"/>
          <w:szCs w:val="16"/>
        </w:rPr>
        <w:t>SOX2</w:t>
      </w:r>
      <w:r w:rsidRPr="00CC3469">
        <w:rPr>
          <w:rFonts w:eastAsia="Calibri Light" w:cs="Calibri Light"/>
          <w:sz w:val="16"/>
          <w:szCs w:val="16"/>
        </w:rPr>
        <w:t xml:space="preserve">, rs2162540 in </w:t>
      </w:r>
      <w:r w:rsidRPr="00CC3469">
        <w:rPr>
          <w:rFonts w:eastAsia="Calibri Light" w:cs="Calibri Light"/>
          <w:i/>
          <w:iCs/>
          <w:sz w:val="16"/>
          <w:szCs w:val="16"/>
        </w:rPr>
        <w:t>FGFR2</w:t>
      </w:r>
      <w:r w:rsidRPr="00CC3469">
        <w:rPr>
          <w:rFonts w:eastAsia="Calibri Light" w:cs="Calibri Light"/>
          <w:sz w:val="16"/>
          <w:szCs w:val="16"/>
        </w:rPr>
        <w:t xml:space="preserve">, rs11696257 in </w:t>
      </w:r>
      <w:r w:rsidRPr="00CC3469">
        <w:rPr>
          <w:rFonts w:eastAsia="Calibri Light" w:cs="Calibri Light"/>
          <w:i/>
          <w:iCs/>
          <w:sz w:val="16"/>
          <w:szCs w:val="16"/>
        </w:rPr>
        <w:t>MAFB</w:t>
      </w:r>
      <w:r w:rsidRPr="00CC3469">
        <w:rPr>
          <w:rFonts w:eastAsia="Calibri Light" w:cs="Calibri Light"/>
          <w:sz w:val="16"/>
          <w:szCs w:val="16"/>
        </w:rPr>
        <w:t xml:space="preserve">, and rs881301 in </w:t>
      </w:r>
      <w:r w:rsidRPr="00CC3469">
        <w:rPr>
          <w:rFonts w:eastAsia="Calibri Light" w:cs="Calibri Light"/>
          <w:i/>
          <w:iCs/>
          <w:sz w:val="16"/>
          <w:szCs w:val="16"/>
        </w:rPr>
        <w:t>FGFR1</w:t>
      </w:r>
      <w:r w:rsidRPr="00CC3469">
        <w:rPr>
          <w:rFonts w:eastAsia="Calibri Light" w:cs="Calibri Light"/>
          <w:sz w:val="16"/>
          <w:szCs w:val="16"/>
        </w:rPr>
        <w:t>)</w:t>
      </w:r>
      <w:r w:rsidRPr="00CC3469">
        <w:rPr>
          <w:rFonts w:eastAsia="Calibri Light" w:cs="Times New Roman"/>
          <w:sz w:val="16"/>
          <w:szCs w:val="16"/>
          <w:rtl/>
        </w:rPr>
        <w:t xml:space="preserve">   مع سوء الإطباق من الدرجة الثالثة</w:t>
      </w:r>
      <w:r w:rsidRPr="00CC3469">
        <w:rPr>
          <w:rFonts w:eastAsia="Calibri Light" w:cs="Calibri Light"/>
          <w:sz w:val="16"/>
          <w:szCs w:val="16"/>
          <w:rtl/>
        </w:rPr>
        <w:t xml:space="preserve">. </w:t>
      </w:r>
      <w:r w:rsidRPr="00CC3469">
        <w:rPr>
          <w:rFonts w:eastAsia="Calibri Light" w:cs="Calibri Light"/>
          <w:sz w:val="16"/>
          <w:szCs w:val="16"/>
        </w:rPr>
        <w:t xml:space="preserve">  </w:t>
      </w:r>
      <w:r w:rsidR="008F6707">
        <w:rPr>
          <w:rFonts w:eastAsia="Calibri Light" w:cs="Times New Roman" w:hint="cs"/>
          <w:sz w:val="16"/>
          <w:szCs w:val="16"/>
          <w:rtl/>
        </w:rPr>
        <w:t xml:space="preserve"> </w:t>
      </w:r>
      <w:r w:rsidRPr="00CC3469">
        <w:rPr>
          <w:rFonts w:eastAsia="Calibri Light" w:cs="Times New Roman"/>
          <w:sz w:val="16"/>
          <w:szCs w:val="16"/>
          <w:rtl/>
        </w:rPr>
        <w:t>المواد والطرق</w:t>
      </w:r>
      <w:r w:rsidRPr="00CC3469">
        <w:rPr>
          <w:rFonts w:eastAsia="Calibri Light" w:cs="Calibri Light"/>
          <w:sz w:val="16"/>
          <w:szCs w:val="16"/>
          <w:rtl/>
        </w:rPr>
        <w:t xml:space="preserve">: </w:t>
      </w:r>
      <w:r w:rsidRPr="00CC3469">
        <w:rPr>
          <w:rFonts w:eastAsia="Calibri Light" w:cs="Times New Roman"/>
          <w:sz w:val="16"/>
          <w:szCs w:val="16"/>
          <w:rtl/>
        </w:rPr>
        <w:t xml:space="preserve">تم تضمين ما مجموعه </w:t>
      </w:r>
      <w:r w:rsidRPr="00CC3469">
        <w:rPr>
          <w:rFonts w:eastAsia="Calibri Light" w:cs="Calibri Light"/>
          <w:sz w:val="16"/>
          <w:szCs w:val="16"/>
          <w:rtl/>
        </w:rPr>
        <w:t xml:space="preserve">10 </w:t>
      </w:r>
      <w:r w:rsidRPr="00CC3469">
        <w:rPr>
          <w:rFonts w:eastAsia="Calibri Light" w:cs="Times New Roman"/>
          <w:sz w:val="16"/>
          <w:szCs w:val="16"/>
          <w:rtl/>
        </w:rPr>
        <w:t xml:space="preserve">مرضى ، منهم </w:t>
      </w:r>
      <w:r w:rsidRPr="00CC3469">
        <w:rPr>
          <w:rFonts w:eastAsia="Calibri Light" w:cs="Calibri Light"/>
          <w:sz w:val="16"/>
          <w:szCs w:val="16"/>
          <w:rtl/>
        </w:rPr>
        <w:t xml:space="preserve">5 </w:t>
      </w:r>
      <w:r w:rsidRPr="00CC3469">
        <w:rPr>
          <w:rFonts w:eastAsia="Calibri Light" w:cs="Times New Roman"/>
          <w:sz w:val="16"/>
          <w:szCs w:val="16"/>
          <w:rtl/>
        </w:rPr>
        <w:t xml:space="preserve">يعانون من الهيكل العظمي من الدرجة الأولى و </w:t>
      </w:r>
      <w:r w:rsidRPr="00CC3469">
        <w:rPr>
          <w:rFonts w:eastAsia="Calibri Light" w:cs="Calibri Light"/>
          <w:sz w:val="16"/>
          <w:szCs w:val="16"/>
          <w:rtl/>
        </w:rPr>
        <w:t xml:space="preserve">5 </w:t>
      </w:r>
      <w:r w:rsidRPr="00CC3469">
        <w:rPr>
          <w:rFonts w:eastAsia="Calibri Light" w:cs="Times New Roman"/>
          <w:sz w:val="16"/>
          <w:szCs w:val="16"/>
          <w:rtl/>
        </w:rPr>
        <w:t>مع سوء إطباق الهيكل العظمي من الدرجة الثالثة ، في هذه الدراسة</w:t>
      </w:r>
      <w:r w:rsidRPr="00CC3469">
        <w:rPr>
          <w:rFonts w:eastAsia="Calibri Light" w:cs="Calibri Light"/>
          <w:sz w:val="16"/>
          <w:szCs w:val="16"/>
          <w:rtl/>
        </w:rPr>
        <w:t xml:space="preserve">. </w:t>
      </w:r>
      <w:r w:rsidRPr="00CC3469">
        <w:rPr>
          <w:rFonts w:eastAsia="Calibri Light" w:cs="Times New Roman"/>
          <w:sz w:val="16"/>
          <w:szCs w:val="16"/>
          <w:rtl/>
        </w:rPr>
        <w:t>تم جمع عينات الحمض النووي اللعابي وتحليلها باستخدام تسلسل سانجر</w:t>
      </w:r>
      <w:r w:rsidRPr="00CC3469">
        <w:rPr>
          <w:rFonts w:eastAsia="Calibri Light" w:cs="Calibri Light"/>
          <w:sz w:val="16"/>
          <w:szCs w:val="16"/>
          <w:rtl/>
        </w:rPr>
        <w:t xml:space="preserve">. </w:t>
      </w:r>
      <w:r w:rsidRPr="00CC3469">
        <w:rPr>
          <w:rFonts w:eastAsia="Calibri Light" w:cs="Times New Roman"/>
          <w:sz w:val="16"/>
          <w:szCs w:val="16"/>
          <w:rtl/>
        </w:rPr>
        <w:t>تم إجراء التتبع الرقمي على الصور الشعاعية الجانبية للرأس باستخدام برنامج اوتوكاد للرقمنة لتقييم العلاقة الأمامية الخلفية والعمودية لقوس الفك العلوي والفك السفلي</w:t>
      </w:r>
      <w:r w:rsidRPr="00CC3469">
        <w:rPr>
          <w:rFonts w:eastAsia="Calibri Light" w:cs="Calibri Light"/>
          <w:sz w:val="18"/>
          <w:szCs w:val="18"/>
          <w:rtl/>
        </w:rPr>
        <w:t>.</w:t>
      </w:r>
    </w:p>
    <w:p w14:paraId="18AB18EF" w14:textId="7CC563B7" w:rsidR="00CC3469" w:rsidRPr="00CC3469" w:rsidRDefault="00CC3469" w:rsidP="008F6707">
      <w:pPr>
        <w:pStyle w:val="Body"/>
        <w:bidi/>
        <w:spacing w:line="240" w:lineRule="auto"/>
        <w:ind w:left="386" w:right="720" w:firstLine="0"/>
        <w:contextualSpacing/>
        <w:rPr>
          <w:sz w:val="16"/>
          <w:szCs w:val="16"/>
        </w:rPr>
      </w:pPr>
      <w:r w:rsidRPr="00CC3469">
        <w:rPr>
          <w:i/>
          <w:iCs/>
          <w:sz w:val="16"/>
          <w:szCs w:val="16"/>
        </w:rPr>
        <w:t xml:space="preserve">SOX2 </w:t>
      </w:r>
      <w:r w:rsidRPr="00CC3469">
        <w:rPr>
          <w:rFonts w:cs="Times New Roman"/>
          <w:sz w:val="16"/>
          <w:szCs w:val="16"/>
          <w:rtl/>
        </w:rPr>
        <w:t>و</w:t>
      </w:r>
      <w:r w:rsidRPr="00CC3469">
        <w:rPr>
          <w:sz w:val="16"/>
          <w:szCs w:val="16"/>
        </w:rPr>
        <w:t xml:space="preserve"> </w:t>
      </w:r>
      <w:r w:rsidRPr="00CC3469">
        <w:rPr>
          <w:i/>
          <w:iCs/>
          <w:sz w:val="16"/>
          <w:szCs w:val="16"/>
        </w:rPr>
        <w:t>FGFR1</w:t>
      </w:r>
      <w:r w:rsidRPr="00CC3469">
        <w:rPr>
          <w:rFonts w:cs="Times New Roman"/>
          <w:sz w:val="16"/>
          <w:szCs w:val="16"/>
          <w:rtl/>
        </w:rPr>
        <w:t>الخلاصة</w:t>
      </w:r>
      <w:r w:rsidRPr="00CC3469">
        <w:rPr>
          <w:sz w:val="16"/>
          <w:szCs w:val="16"/>
          <w:rtl/>
        </w:rPr>
        <w:t xml:space="preserve">: </w:t>
      </w:r>
      <w:r w:rsidRPr="00CC3469">
        <w:rPr>
          <w:rFonts w:cs="Times New Roman"/>
          <w:sz w:val="16"/>
          <w:szCs w:val="16"/>
          <w:rtl/>
        </w:rPr>
        <w:t>قد</w:t>
      </w:r>
      <w:r w:rsidRPr="00CC3469">
        <w:rPr>
          <w:sz w:val="16"/>
          <w:szCs w:val="16"/>
          <w:rtl/>
        </w:rPr>
        <w:t xml:space="preserve"> </w:t>
      </w:r>
      <w:r w:rsidRPr="00CC3469">
        <w:rPr>
          <w:rFonts w:cs="Times New Roman"/>
          <w:sz w:val="16"/>
          <w:szCs w:val="16"/>
          <w:rtl/>
        </w:rPr>
        <w:t>يكون</w:t>
      </w:r>
      <w:r w:rsidRPr="00CC3469">
        <w:rPr>
          <w:sz w:val="16"/>
          <w:szCs w:val="16"/>
          <w:rtl/>
        </w:rPr>
        <w:t xml:space="preserve"> </w:t>
      </w:r>
      <w:r w:rsidRPr="00CC3469">
        <w:rPr>
          <w:rFonts w:cs="Times New Roman"/>
          <w:sz w:val="16"/>
          <w:szCs w:val="16"/>
          <w:rtl/>
        </w:rPr>
        <w:t>سبب</w:t>
      </w:r>
      <w:r w:rsidRPr="00CC3469">
        <w:rPr>
          <w:sz w:val="16"/>
          <w:szCs w:val="16"/>
          <w:rtl/>
        </w:rPr>
        <w:t xml:space="preserve"> </w:t>
      </w:r>
      <w:r w:rsidRPr="00CC3469">
        <w:rPr>
          <w:rFonts w:cs="Times New Roman"/>
          <w:sz w:val="16"/>
          <w:szCs w:val="16"/>
          <w:rtl/>
        </w:rPr>
        <w:t>سوء</w:t>
      </w:r>
      <w:r w:rsidRPr="00CC3469">
        <w:rPr>
          <w:sz w:val="16"/>
          <w:szCs w:val="16"/>
          <w:rtl/>
        </w:rPr>
        <w:t xml:space="preserve"> </w:t>
      </w:r>
      <w:r w:rsidRPr="00CC3469">
        <w:rPr>
          <w:rFonts w:cs="Times New Roman"/>
          <w:sz w:val="16"/>
          <w:szCs w:val="16"/>
          <w:rtl/>
        </w:rPr>
        <w:t>الإطباق</w:t>
      </w:r>
      <w:r w:rsidRPr="00CC3469">
        <w:rPr>
          <w:sz w:val="16"/>
          <w:szCs w:val="16"/>
          <w:rtl/>
        </w:rPr>
        <w:t xml:space="preserve"> </w:t>
      </w:r>
      <w:r w:rsidRPr="00CC3469">
        <w:rPr>
          <w:rFonts w:cs="Times New Roman"/>
          <w:sz w:val="16"/>
          <w:szCs w:val="16"/>
          <w:rtl/>
        </w:rPr>
        <w:t>من</w:t>
      </w:r>
      <w:r w:rsidRPr="00CC3469">
        <w:rPr>
          <w:sz w:val="16"/>
          <w:szCs w:val="16"/>
          <w:rtl/>
        </w:rPr>
        <w:t xml:space="preserve"> </w:t>
      </w:r>
      <w:r w:rsidRPr="00CC3469">
        <w:rPr>
          <w:rFonts w:cs="Times New Roman"/>
          <w:sz w:val="16"/>
          <w:szCs w:val="16"/>
          <w:rtl/>
        </w:rPr>
        <w:t>الفئة</w:t>
      </w:r>
      <w:r w:rsidRPr="00CC3469">
        <w:rPr>
          <w:sz w:val="16"/>
          <w:szCs w:val="16"/>
          <w:rtl/>
        </w:rPr>
        <w:t xml:space="preserve"> </w:t>
      </w:r>
      <w:r w:rsidRPr="00CC3469">
        <w:rPr>
          <w:rFonts w:cs="Times New Roman"/>
          <w:sz w:val="16"/>
          <w:szCs w:val="16"/>
          <w:rtl/>
        </w:rPr>
        <w:t>الثالثة</w:t>
      </w:r>
      <w:r>
        <w:rPr>
          <w:rFonts w:cs="Times New Roman" w:hint="cs"/>
          <w:sz w:val="16"/>
          <w:szCs w:val="16"/>
          <w:rtl/>
        </w:rPr>
        <w:t xml:space="preserve"> هو</w:t>
      </w:r>
      <w:r w:rsidRPr="00CC3469">
        <w:rPr>
          <w:sz w:val="16"/>
          <w:szCs w:val="16"/>
          <w:rtl/>
        </w:rPr>
        <w:t xml:space="preserve"> </w:t>
      </w:r>
      <w:r w:rsidRPr="00CC3469">
        <w:rPr>
          <w:rFonts w:cs="Times New Roman"/>
          <w:sz w:val="16"/>
          <w:szCs w:val="16"/>
          <w:rtl/>
        </w:rPr>
        <w:t>الاختلافات</w:t>
      </w:r>
      <w:r w:rsidRPr="00CC3469">
        <w:rPr>
          <w:sz w:val="16"/>
          <w:szCs w:val="16"/>
          <w:rtl/>
        </w:rPr>
        <w:t xml:space="preserve"> </w:t>
      </w:r>
      <w:r w:rsidRPr="00CC3469">
        <w:rPr>
          <w:rFonts w:cs="Times New Roman"/>
          <w:sz w:val="16"/>
          <w:szCs w:val="16"/>
          <w:rtl/>
        </w:rPr>
        <w:t>الجينية</w:t>
      </w:r>
      <w:r w:rsidRPr="00CC3469">
        <w:rPr>
          <w:sz w:val="16"/>
          <w:szCs w:val="16"/>
          <w:rtl/>
        </w:rPr>
        <w:t xml:space="preserve"> </w:t>
      </w:r>
      <w:r w:rsidRPr="00CC3469">
        <w:rPr>
          <w:rFonts w:cs="Times New Roman"/>
          <w:sz w:val="16"/>
          <w:szCs w:val="16"/>
          <w:rtl/>
        </w:rPr>
        <w:t>في</w:t>
      </w:r>
      <w:r w:rsidRPr="00CC3469">
        <w:rPr>
          <w:sz w:val="16"/>
          <w:szCs w:val="16"/>
          <w:rtl/>
        </w:rPr>
        <w:t xml:space="preserve"> </w:t>
      </w:r>
      <w:r w:rsidRPr="00CC3469">
        <w:rPr>
          <w:rFonts w:cs="Times New Roman"/>
          <w:sz w:val="16"/>
          <w:szCs w:val="16"/>
          <w:rtl/>
          <w:lang w:bidi="ar-IQ"/>
        </w:rPr>
        <w:t>جينات</w:t>
      </w:r>
      <w:r w:rsidRPr="00CC3469">
        <w:rPr>
          <w:sz w:val="16"/>
          <w:szCs w:val="16"/>
          <w:rtl/>
          <w:lang w:bidi="ar-IQ"/>
        </w:rPr>
        <w:t xml:space="preserve"> </w:t>
      </w:r>
      <w:r w:rsidRPr="00CC3469">
        <w:rPr>
          <w:sz w:val="16"/>
          <w:szCs w:val="16"/>
          <w:rtl/>
        </w:rPr>
        <w:t xml:space="preserve"> </w:t>
      </w:r>
      <w:r w:rsidR="008F6707">
        <w:rPr>
          <w:rFonts w:hint="cs"/>
          <w:sz w:val="16"/>
          <w:szCs w:val="16"/>
          <w:rtl/>
        </w:rPr>
        <w:t xml:space="preserve"> </w:t>
      </w:r>
      <w:r w:rsidRPr="00CC3469">
        <w:rPr>
          <w:sz w:val="16"/>
          <w:szCs w:val="16"/>
          <w:rtl/>
        </w:rPr>
        <w:t xml:space="preserve"> </w:t>
      </w:r>
      <w:r w:rsidRPr="00CC3469">
        <w:rPr>
          <w:rFonts w:cs="Times New Roman"/>
          <w:sz w:val="16"/>
          <w:szCs w:val="16"/>
          <w:rtl/>
        </w:rPr>
        <w:t>وفقا</w:t>
      </w:r>
      <w:r w:rsidRPr="00CC3469">
        <w:rPr>
          <w:sz w:val="16"/>
          <w:szCs w:val="16"/>
          <w:rtl/>
        </w:rPr>
        <w:t xml:space="preserve"> </w:t>
      </w:r>
      <w:r w:rsidRPr="00CC3469">
        <w:rPr>
          <w:rFonts w:cs="Times New Roman"/>
          <w:sz w:val="16"/>
          <w:szCs w:val="16"/>
          <w:rtl/>
        </w:rPr>
        <w:t>لهذه</w:t>
      </w:r>
      <w:r w:rsidRPr="00CC3469">
        <w:rPr>
          <w:sz w:val="16"/>
          <w:szCs w:val="16"/>
          <w:rtl/>
        </w:rPr>
        <w:t xml:space="preserve"> </w:t>
      </w:r>
      <w:r w:rsidRPr="00CC3469">
        <w:rPr>
          <w:rFonts w:cs="Times New Roman"/>
          <w:sz w:val="16"/>
          <w:szCs w:val="16"/>
          <w:rtl/>
        </w:rPr>
        <w:t>الدراسة</w:t>
      </w:r>
      <w:r w:rsidRPr="00CC3469">
        <w:rPr>
          <w:sz w:val="16"/>
          <w:szCs w:val="16"/>
          <w:rtl/>
        </w:rPr>
        <w:t xml:space="preserve">. </w:t>
      </w:r>
      <w:r w:rsidRPr="00CC3469">
        <w:rPr>
          <w:rFonts w:cs="Times New Roman"/>
          <w:sz w:val="16"/>
          <w:szCs w:val="16"/>
          <w:rtl/>
        </w:rPr>
        <w:t>للتحقق</w:t>
      </w:r>
      <w:r w:rsidRPr="00CC3469">
        <w:rPr>
          <w:sz w:val="16"/>
          <w:szCs w:val="16"/>
          <w:rtl/>
        </w:rPr>
        <w:t xml:space="preserve"> </w:t>
      </w:r>
      <w:r w:rsidRPr="00CC3469">
        <w:rPr>
          <w:rFonts w:cs="Times New Roman"/>
          <w:sz w:val="16"/>
          <w:szCs w:val="16"/>
          <w:rtl/>
        </w:rPr>
        <w:t>من</w:t>
      </w:r>
      <w:r w:rsidRPr="00CC3469">
        <w:rPr>
          <w:sz w:val="16"/>
          <w:szCs w:val="16"/>
          <w:rtl/>
        </w:rPr>
        <w:t xml:space="preserve"> </w:t>
      </w:r>
      <w:r w:rsidRPr="00CC3469">
        <w:rPr>
          <w:rFonts w:cs="Times New Roman"/>
          <w:sz w:val="16"/>
          <w:szCs w:val="16"/>
          <w:rtl/>
        </w:rPr>
        <w:t>هذه</w:t>
      </w:r>
      <w:r w:rsidRPr="00CC3469">
        <w:rPr>
          <w:sz w:val="16"/>
          <w:szCs w:val="16"/>
          <w:rtl/>
        </w:rPr>
        <w:t xml:space="preserve"> </w:t>
      </w:r>
      <w:r w:rsidRPr="00CC3469">
        <w:rPr>
          <w:rFonts w:cs="Times New Roman"/>
          <w:sz w:val="16"/>
          <w:szCs w:val="16"/>
          <w:rtl/>
        </w:rPr>
        <w:t>النتائج</w:t>
      </w:r>
      <w:r w:rsidRPr="00CC3469">
        <w:rPr>
          <w:sz w:val="16"/>
          <w:szCs w:val="16"/>
          <w:rtl/>
        </w:rPr>
        <w:t xml:space="preserve"> </w:t>
      </w:r>
      <w:r w:rsidRPr="00CC3469">
        <w:rPr>
          <w:rFonts w:cs="Times New Roman"/>
          <w:sz w:val="16"/>
          <w:szCs w:val="16"/>
          <w:rtl/>
        </w:rPr>
        <w:t>هناك</w:t>
      </w:r>
      <w:r w:rsidRPr="00CC3469">
        <w:rPr>
          <w:sz w:val="16"/>
          <w:szCs w:val="16"/>
          <w:rtl/>
        </w:rPr>
        <w:t xml:space="preserve"> </w:t>
      </w:r>
      <w:r w:rsidRPr="00CC3469">
        <w:rPr>
          <w:rFonts w:cs="Times New Roman"/>
          <w:sz w:val="16"/>
          <w:szCs w:val="16"/>
          <w:rtl/>
        </w:rPr>
        <w:t>حاجة</w:t>
      </w:r>
      <w:r w:rsidRPr="00CC3469">
        <w:rPr>
          <w:sz w:val="16"/>
          <w:szCs w:val="16"/>
          <w:rtl/>
        </w:rPr>
        <w:t xml:space="preserve"> </w:t>
      </w:r>
      <w:r w:rsidRPr="00CC3469">
        <w:rPr>
          <w:rFonts w:cs="Times New Roman"/>
          <w:sz w:val="16"/>
          <w:szCs w:val="16"/>
          <w:rtl/>
        </w:rPr>
        <w:t>إلى</w:t>
      </w:r>
      <w:r w:rsidRPr="00CC3469">
        <w:rPr>
          <w:sz w:val="16"/>
          <w:szCs w:val="16"/>
          <w:rtl/>
        </w:rPr>
        <w:t xml:space="preserve"> </w:t>
      </w:r>
      <w:r w:rsidRPr="00CC3469">
        <w:rPr>
          <w:rFonts w:cs="Times New Roman"/>
          <w:sz w:val="16"/>
          <w:szCs w:val="16"/>
          <w:rtl/>
        </w:rPr>
        <w:t>مزيد</w:t>
      </w:r>
      <w:r w:rsidRPr="00CC3469">
        <w:rPr>
          <w:sz w:val="16"/>
          <w:szCs w:val="16"/>
          <w:rtl/>
        </w:rPr>
        <w:t xml:space="preserve"> </w:t>
      </w:r>
      <w:r w:rsidRPr="00CC3469">
        <w:rPr>
          <w:rFonts w:cs="Times New Roman"/>
          <w:sz w:val="16"/>
          <w:szCs w:val="16"/>
          <w:rtl/>
        </w:rPr>
        <w:t>من</w:t>
      </w:r>
      <w:r w:rsidRPr="00CC3469">
        <w:rPr>
          <w:sz w:val="16"/>
          <w:szCs w:val="16"/>
          <w:rtl/>
        </w:rPr>
        <w:t xml:space="preserve"> </w:t>
      </w:r>
      <w:r>
        <w:rPr>
          <w:rFonts w:cs="Times New Roman"/>
          <w:sz w:val="16"/>
          <w:szCs w:val="16"/>
          <w:rtl/>
        </w:rPr>
        <w:t>الدراس</w:t>
      </w:r>
      <w:r>
        <w:rPr>
          <w:rFonts w:cs="Times New Roman" w:hint="cs"/>
          <w:sz w:val="16"/>
          <w:szCs w:val="16"/>
          <w:rtl/>
        </w:rPr>
        <w:t>ات</w:t>
      </w:r>
      <w:r w:rsidRPr="00CC3469">
        <w:rPr>
          <w:sz w:val="16"/>
          <w:szCs w:val="16"/>
          <w:rtl/>
        </w:rPr>
        <w:t xml:space="preserve"> </w:t>
      </w:r>
      <w:r w:rsidRPr="00CC3469">
        <w:rPr>
          <w:rFonts w:cs="Times New Roman"/>
          <w:sz w:val="16"/>
          <w:szCs w:val="16"/>
          <w:rtl/>
        </w:rPr>
        <w:t>التي</w:t>
      </w:r>
      <w:r w:rsidRPr="00CC3469">
        <w:rPr>
          <w:sz w:val="16"/>
          <w:szCs w:val="16"/>
          <w:rtl/>
        </w:rPr>
        <w:t xml:space="preserve"> </w:t>
      </w:r>
      <w:r w:rsidRPr="00CC3469">
        <w:rPr>
          <w:rFonts w:cs="Times New Roman"/>
          <w:sz w:val="16"/>
          <w:szCs w:val="16"/>
          <w:rtl/>
        </w:rPr>
        <w:t>تنطوي</w:t>
      </w:r>
      <w:r w:rsidRPr="00CC3469">
        <w:rPr>
          <w:sz w:val="16"/>
          <w:szCs w:val="16"/>
          <w:rtl/>
        </w:rPr>
        <w:t xml:space="preserve"> </w:t>
      </w:r>
      <w:r w:rsidRPr="00CC3469">
        <w:rPr>
          <w:rFonts w:cs="Times New Roman"/>
          <w:sz w:val="16"/>
          <w:szCs w:val="16"/>
          <w:rtl/>
        </w:rPr>
        <w:t>على</w:t>
      </w:r>
      <w:r w:rsidRPr="00CC3469">
        <w:rPr>
          <w:sz w:val="16"/>
          <w:szCs w:val="16"/>
          <w:rtl/>
        </w:rPr>
        <w:t xml:space="preserve"> </w:t>
      </w:r>
      <w:r w:rsidRPr="00CC3469">
        <w:rPr>
          <w:rFonts w:cs="Times New Roman"/>
          <w:sz w:val="16"/>
          <w:szCs w:val="16"/>
          <w:rtl/>
        </w:rPr>
        <w:t>حجم</w:t>
      </w:r>
      <w:r w:rsidRPr="00CC3469">
        <w:rPr>
          <w:sz w:val="16"/>
          <w:szCs w:val="16"/>
          <w:rtl/>
        </w:rPr>
        <w:t xml:space="preserve"> </w:t>
      </w:r>
      <w:r>
        <w:rPr>
          <w:rFonts w:cs="Times New Roman"/>
          <w:sz w:val="16"/>
          <w:szCs w:val="16"/>
          <w:rtl/>
        </w:rPr>
        <w:t>عين</w:t>
      </w:r>
      <w:r>
        <w:rPr>
          <w:rFonts w:cs="Times New Roman" w:hint="cs"/>
          <w:sz w:val="16"/>
          <w:szCs w:val="16"/>
          <w:rtl/>
        </w:rPr>
        <w:t>ات</w:t>
      </w:r>
      <w:r w:rsidRPr="00CC3469">
        <w:rPr>
          <w:sz w:val="16"/>
          <w:szCs w:val="16"/>
          <w:rtl/>
        </w:rPr>
        <w:t xml:space="preserve"> </w:t>
      </w:r>
      <w:r>
        <w:rPr>
          <w:rFonts w:cs="Times New Roman"/>
          <w:sz w:val="16"/>
          <w:szCs w:val="16"/>
          <w:rtl/>
        </w:rPr>
        <w:t>أكب</w:t>
      </w:r>
      <w:r>
        <w:rPr>
          <w:rFonts w:cs="Times New Roman" w:hint="cs"/>
          <w:sz w:val="16"/>
          <w:szCs w:val="16"/>
          <w:rtl/>
        </w:rPr>
        <w:t>ر</w:t>
      </w:r>
    </w:p>
    <w:p w14:paraId="5F6333C8" w14:textId="0623A057" w:rsidR="008F50F9" w:rsidRDefault="008F50F9" w:rsidP="008F6707">
      <w:pPr>
        <w:pStyle w:val="Body"/>
        <w:spacing w:line="240" w:lineRule="auto"/>
        <w:ind w:firstLine="0"/>
        <w:contextualSpacing/>
        <w:jc w:val="left"/>
      </w:pPr>
    </w:p>
    <w:p w14:paraId="0DCDF06E" w14:textId="77777777" w:rsidR="00FE7BF6" w:rsidRPr="00A21194" w:rsidRDefault="00FE7BF6">
      <w:pPr>
        <w:pStyle w:val="Body"/>
        <w:spacing w:line="240" w:lineRule="auto"/>
        <w:contextualSpacing/>
        <w:jc w:val="left"/>
        <w:rPr>
          <w:color w:val="000000" w:themeColor="text1"/>
        </w:rPr>
      </w:pPr>
    </w:p>
    <w:sectPr w:rsidR="00FE7BF6" w:rsidRPr="00A21194" w:rsidSect="006B7F60">
      <w:headerReference w:type="even" r:id="rId59"/>
      <w:headerReference w:type="default" r:id="rId60"/>
      <w:footerReference w:type="default" r:id="rId61"/>
      <w:headerReference w:type="first" r:id="rId62"/>
      <w:footerReference w:type="first" r:id="rId63"/>
      <w:pgSz w:w="11906" w:h="16838" w:code="9"/>
      <w:pgMar w:top="964" w:right="720" w:bottom="1077" w:left="720" w:header="180" w:footer="720"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7F10" w14:textId="77777777" w:rsidR="004E3216" w:rsidRDefault="004E3216">
      <w:pPr>
        <w:spacing w:line="240" w:lineRule="auto"/>
      </w:pPr>
      <w:r>
        <w:separator/>
      </w:r>
    </w:p>
  </w:endnote>
  <w:endnote w:type="continuationSeparator" w:id="0">
    <w:p w14:paraId="1778948B" w14:textId="77777777" w:rsidR="004E3216" w:rsidRDefault="004E3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11773116"/>
      <w:docPartObj>
        <w:docPartGallery w:val="Page Numbers (Bottom of Page)"/>
        <w:docPartUnique/>
      </w:docPartObj>
    </w:sdtPr>
    <w:sdtEndPr>
      <w:rPr>
        <w:noProof/>
      </w:rPr>
    </w:sdtEndPr>
    <w:sdtContent>
      <w:p w14:paraId="6D4211DC" w14:textId="0C31EC1A" w:rsidR="00916511" w:rsidRDefault="00916511" w:rsidP="00916511">
        <w:pPr>
          <w:pStyle w:val="Footer"/>
          <w:ind w:firstLine="0"/>
          <w:jc w:val="center"/>
        </w:pPr>
        <w:r>
          <w:rPr>
            <w:noProof w:val="0"/>
          </w:rPr>
          <w:fldChar w:fldCharType="begin"/>
        </w:r>
        <w:r>
          <w:instrText xml:space="preserve"> PAGE   \* MERGEFORMAT </w:instrText>
        </w:r>
        <w:r>
          <w:rPr>
            <w:noProof w:val="0"/>
          </w:rPr>
          <w:fldChar w:fldCharType="separate"/>
        </w:r>
        <w:r>
          <w:t>2</w:t>
        </w:r>
        <w:r>
          <w:fldChar w:fldCharType="end"/>
        </w:r>
      </w:p>
    </w:sdtContent>
  </w:sdt>
  <w:p w14:paraId="18A1A4CF" w14:textId="77777777" w:rsidR="00156382" w:rsidRDefault="001563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07411497"/>
      <w:docPartObj>
        <w:docPartGallery w:val="Page Numbers (Bottom of Page)"/>
        <w:docPartUnique/>
      </w:docPartObj>
    </w:sdtPr>
    <w:sdtEndPr>
      <w:rPr>
        <w:noProof/>
      </w:rPr>
    </w:sdtEndPr>
    <w:sdtContent>
      <w:p w14:paraId="4AA6F238" w14:textId="0638D3AE" w:rsidR="00916511" w:rsidRDefault="00916511" w:rsidP="00916511">
        <w:pPr>
          <w:pStyle w:val="Footer"/>
          <w:ind w:firstLine="0"/>
          <w:jc w:val="center"/>
        </w:pPr>
        <w:r>
          <w:rPr>
            <w:noProof w:val="0"/>
          </w:rPr>
          <w:fldChar w:fldCharType="begin"/>
        </w:r>
        <w:r>
          <w:instrText xml:space="preserve"> PAGE   \* MERGEFORMAT </w:instrText>
        </w:r>
        <w:r>
          <w:rPr>
            <w:noProof w:val="0"/>
          </w:rPr>
          <w:fldChar w:fldCharType="separate"/>
        </w:r>
        <w:r>
          <w:t>2</w:t>
        </w:r>
        <w:r>
          <w:fldChar w:fldCharType="end"/>
        </w:r>
      </w:p>
    </w:sdtContent>
  </w:sdt>
  <w:p w14:paraId="4206E010" w14:textId="77777777" w:rsidR="00156382" w:rsidRDefault="001563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C571" w14:textId="77777777" w:rsidR="004E3216" w:rsidRDefault="004E3216">
      <w:pPr>
        <w:spacing w:line="240" w:lineRule="auto"/>
      </w:pPr>
      <w:r>
        <w:separator/>
      </w:r>
    </w:p>
  </w:footnote>
  <w:footnote w:type="continuationSeparator" w:id="0">
    <w:p w14:paraId="15BCFA6D" w14:textId="77777777" w:rsidR="004E3216" w:rsidRDefault="004E32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37DE" w14:textId="77777777" w:rsidR="00156382" w:rsidRDefault="00156382" w:rsidP="0073386A">
    <w:pPr>
      <w:pStyle w:val="Header"/>
      <w:pBdr>
        <w:bottom w:val="none" w:sz="0" w:space="0" w:color="auto"/>
      </w:pBdr>
    </w:pPr>
  </w:p>
  <w:p w14:paraId="36083403" w14:textId="77777777" w:rsidR="00156382" w:rsidRDefault="00156382"/>
  <w:p w14:paraId="73C0345F" w14:textId="77777777" w:rsidR="00156382" w:rsidRDefault="001563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2087" w14:textId="16681FEE" w:rsidR="00156382" w:rsidRPr="0060349E" w:rsidRDefault="00156382" w:rsidP="008807E3">
    <w:pPr>
      <w:tabs>
        <w:tab w:val="right" w:pos="10466"/>
      </w:tabs>
      <w:spacing w:line="240" w:lineRule="auto"/>
      <w:ind w:right="26" w:firstLine="0"/>
      <w:rPr>
        <w:rFonts w:eastAsia="Times New Roman"/>
        <w:i/>
        <w:iCs/>
        <w:sz w:val="18"/>
        <w:szCs w:val="18"/>
        <w:lang w:val="fr-CH" w:eastAsia="de-DE"/>
      </w:rPr>
    </w:pPr>
    <w:r w:rsidRPr="0060349E">
      <w:rPr>
        <w:rFonts w:eastAsia="Times New Roman"/>
        <w:i/>
        <w:iCs/>
        <w:sz w:val="18"/>
        <w:szCs w:val="18"/>
        <w:lang w:val="fr-CH" w:eastAsia="de-DE"/>
      </w:rPr>
      <w:t>J. Bagh. Coll. Dent. Vol. 35</w:t>
    </w:r>
    <w:r w:rsidR="00916511">
      <w:rPr>
        <w:rFonts w:eastAsia="Times New Roman"/>
        <w:i/>
        <w:iCs/>
        <w:sz w:val="18"/>
        <w:szCs w:val="18"/>
        <w:lang w:val="fr-CH" w:eastAsia="de-DE"/>
      </w:rPr>
      <w:t>6</w:t>
    </w:r>
    <w:r w:rsidRPr="0060349E">
      <w:rPr>
        <w:rFonts w:eastAsia="Times New Roman"/>
        <w:i/>
        <w:iCs/>
        <w:sz w:val="18"/>
        <w:szCs w:val="18"/>
        <w:lang w:val="fr-CH" w:eastAsia="de-DE"/>
      </w:rPr>
      <w:t xml:space="preserve">, No. </w:t>
    </w:r>
    <w:r>
      <w:rPr>
        <w:rFonts w:eastAsia="Times New Roman"/>
        <w:i/>
        <w:iCs/>
        <w:sz w:val="18"/>
        <w:szCs w:val="18"/>
        <w:lang w:val="fr-CH" w:eastAsia="de-DE"/>
      </w:rPr>
      <w:t>2</w:t>
    </w:r>
    <w:r w:rsidRPr="0060349E">
      <w:rPr>
        <w:rFonts w:eastAsia="Times New Roman"/>
        <w:i/>
        <w:iCs/>
        <w:sz w:val="18"/>
        <w:szCs w:val="18"/>
        <w:lang w:val="fr-CH" w:eastAsia="de-DE"/>
      </w:rPr>
      <w:t>. 202</w:t>
    </w:r>
    <w:r w:rsidR="00916511">
      <w:rPr>
        <w:rFonts w:eastAsia="Times New Roman"/>
        <w:i/>
        <w:iCs/>
        <w:sz w:val="18"/>
        <w:szCs w:val="18"/>
        <w:lang w:val="fr-CH" w:eastAsia="de-DE"/>
      </w:rPr>
      <w:t>4</w:t>
    </w:r>
    <w:r w:rsidRPr="0060349E">
      <w:rPr>
        <w:rFonts w:eastAsia="Times New Roman"/>
        <w:i/>
        <w:iCs/>
        <w:sz w:val="18"/>
        <w:szCs w:val="18"/>
        <w:lang w:val="fr-CH" w:eastAsia="de-DE"/>
      </w:rPr>
      <w:t xml:space="preserve"> </w:t>
    </w:r>
    <w:r>
      <w:rPr>
        <w:rFonts w:eastAsia="Times New Roman"/>
        <w:i/>
        <w:iCs/>
        <w:sz w:val="18"/>
        <w:szCs w:val="18"/>
        <w:lang w:val="fr-CH" w:eastAsia="de-DE"/>
      </w:rPr>
      <w:t xml:space="preserve">                                                                                                      </w:t>
    </w:r>
    <w:r w:rsidR="00916511">
      <w:rPr>
        <w:rFonts w:eastAsia="Times New Roman"/>
        <w:i/>
        <w:iCs/>
        <w:sz w:val="18"/>
        <w:szCs w:val="18"/>
        <w:lang w:val="fr-CH" w:eastAsia="de-DE"/>
      </w:rPr>
      <w:t xml:space="preserve">        </w:t>
    </w:r>
    <w:r>
      <w:rPr>
        <w:rFonts w:eastAsia="Times New Roman"/>
        <w:i/>
        <w:iCs/>
        <w:sz w:val="18"/>
        <w:szCs w:val="18"/>
        <w:lang w:val="fr-CH" w:eastAsia="de-DE"/>
      </w:rPr>
      <w:t xml:space="preserve">        </w:t>
    </w:r>
    <w:r w:rsidR="008807E3">
      <w:rPr>
        <w:sz w:val="18"/>
        <w:szCs w:val="18"/>
      </w:rPr>
      <w:t>Bahya</w:t>
    </w:r>
    <w:r>
      <w:rPr>
        <w:sz w:val="18"/>
        <w:szCs w:val="18"/>
      </w:rPr>
      <w:t xml:space="preserve"> et al.</w:t>
    </w:r>
  </w:p>
  <w:p w14:paraId="34A43992" w14:textId="77777777" w:rsidR="00156382" w:rsidRPr="006B1EBE" w:rsidRDefault="00156382" w:rsidP="00AC6CAC">
    <w:pPr>
      <w:pBdr>
        <w:bottom w:val="single" w:sz="4" w:space="1" w:color="000000"/>
      </w:pBdr>
      <w:tabs>
        <w:tab w:val="right" w:pos="8844"/>
      </w:tabs>
      <w:adjustRightInd w:val="0"/>
      <w:snapToGrid w:val="0"/>
      <w:spacing w:after="480" w:line="100" w:lineRule="exact"/>
      <w:ind w:firstLine="0"/>
      <w:jc w:val="left"/>
      <w:rPr>
        <w:sz w:val="16"/>
        <w:lang w:val="fr-CH"/>
      </w:rPr>
    </w:pPr>
  </w:p>
  <w:p w14:paraId="0992B5FB" w14:textId="77777777" w:rsidR="00156382" w:rsidRDefault="00156382" w:rsidP="0073386A">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44BC" w14:textId="63787252" w:rsidR="00156382" w:rsidRPr="00637D88" w:rsidRDefault="00156382" w:rsidP="0073386A">
    <w:pPr>
      <w:pBdr>
        <w:bottom w:val="single" w:sz="4" w:space="1" w:color="000000"/>
      </w:pBdr>
      <w:adjustRightInd w:val="0"/>
      <w:snapToGrid w:val="0"/>
      <w:spacing w:line="240" w:lineRule="auto"/>
      <w:ind w:left="0" w:right="26" w:firstLine="0"/>
      <w:jc w:val="left"/>
      <w:rPr>
        <w:b/>
        <w:bCs/>
        <w:lang w:val="en-GB"/>
      </w:rPr>
    </w:pPr>
    <w:r w:rsidRPr="00637D88">
      <w:rPr>
        <w:b/>
        <w:bCs/>
        <w:lang w:val="en-GB"/>
      </w:rPr>
      <w:t xml:space="preserve">Journal of </w:t>
    </w:r>
    <w:r>
      <w:rPr>
        <w:b/>
        <w:bCs/>
        <w:lang w:val="en-GB"/>
      </w:rPr>
      <w:t>Baghdad</w:t>
    </w:r>
    <w:r w:rsidRPr="00637D88">
      <w:rPr>
        <w:b/>
        <w:bCs/>
        <w:lang w:val="en-GB"/>
      </w:rPr>
      <w:t xml:space="preserve"> College of Dentistry</w:t>
    </w:r>
    <w:r>
      <w:rPr>
        <w:b/>
        <w:bCs/>
        <w:lang w:val="en-GB"/>
      </w:rPr>
      <w:t>,</w:t>
    </w:r>
    <w:r w:rsidRPr="00637D88">
      <w:rPr>
        <w:b/>
        <w:bCs/>
        <w:lang w:val="en-GB"/>
      </w:rPr>
      <w:t xml:space="preserve"> Vol</w:t>
    </w:r>
    <w:r>
      <w:rPr>
        <w:b/>
        <w:bCs/>
        <w:lang w:val="en-GB"/>
      </w:rPr>
      <w:t>.</w:t>
    </w:r>
    <w:r w:rsidRPr="00637D88">
      <w:rPr>
        <w:b/>
        <w:bCs/>
        <w:lang w:val="en-GB"/>
      </w:rPr>
      <w:t xml:space="preserve"> 3</w:t>
    </w:r>
    <w:r w:rsidR="00916511">
      <w:rPr>
        <w:b/>
        <w:bCs/>
        <w:lang w:val="en-GB"/>
      </w:rPr>
      <w:t>6</w:t>
    </w:r>
    <w:r>
      <w:rPr>
        <w:b/>
        <w:bCs/>
        <w:lang w:val="en-GB"/>
      </w:rPr>
      <w:t>, No</w:t>
    </w:r>
    <w:r w:rsidRPr="00637D88">
      <w:rPr>
        <w:b/>
        <w:bCs/>
        <w:lang w:val="en-GB"/>
      </w:rPr>
      <w:t xml:space="preserve">. </w:t>
    </w:r>
    <w:r>
      <w:rPr>
        <w:b/>
        <w:bCs/>
        <w:lang w:val="en-GB"/>
      </w:rPr>
      <w:t>2</w:t>
    </w:r>
    <w:r w:rsidRPr="00637D88">
      <w:rPr>
        <w:b/>
        <w:bCs/>
        <w:lang w:val="en-GB"/>
      </w:rPr>
      <w:t xml:space="preserve"> (202</w:t>
    </w:r>
    <w:r w:rsidR="00916511">
      <w:rPr>
        <w:b/>
        <w:bCs/>
        <w:lang w:val="en-GB"/>
      </w:rPr>
      <w:t>4</w:t>
    </w:r>
    <w:r w:rsidRPr="00637D88">
      <w:rPr>
        <w:b/>
        <w:bCs/>
        <w:lang w:val="en-GB"/>
      </w:rPr>
      <w:t xml:space="preserve">), ISSN (P): </w:t>
    </w:r>
    <w:r w:rsidRPr="00637D88">
      <w:rPr>
        <w:b/>
        <w:bCs/>
        <w:color w:val="2C3E50"/>
        <w:shd w:val="clear" w:color="auto" w:fill="FFFFFF"/>
      </w:rPr>
      <w:t>1817-1869, ISSN (E): 2311-5270</w:t>
    </w:r>
  </w:p>
  <w:p w14:paraId="0420CC59" w14:textId="77777777" w:rsidR="00156382" w:rsidRDefault="00156382"/>
  <w:p w14:paraId="794C231B" w14:textId="77777777" w:rsidR="00156382" w:rsidRDefault="001563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099C"/>
    <w:multiLevelType w:val="multilevel"/>
    <w:tmpl w:val="8F46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71194"/>
    <w:multiLevelType w:val="hybridMultilevel"/>
    <w:tmpl w:val="B2CA71C2"/>
    <w:lvl w:ilvl="0" w:tplc="79C2964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468F5"/>
    <w:multiLevelType w:val="hybridMultilevel"/>
    <w:tmpl w:val="551C9AE8"/>
    <w:lvl w:ilvl="0" w:tplc="E264CA32">
      <w:start w:val="1"/>
      <w:numFmt w:val="bullet"/>
      <w:lvlRestart w:val="0"/>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28B6490"/>
    <w:multiLevelType w:val="hybridMultilevel"/>
    <w:tmpl w:val="703C44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25041B"/>
    <w:multiLevelType w:val="hybridMultilevel"/>
    <w:tmpl w:val="EF8C6396"/>
    <w:lvl w:ilvl="0" w:tplc="411A08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700AA"/>
    <w:multiLevelType w:val="hybridMultilevel"/>
    <w:tmpl w:val="3BFC8BA2"/>
    <w:lvl w:ilvl="0" w:tplc="0809000F">
      <w:start w:val="1"/>
      <w:numFmt w:val="decimal"/>
      <w:lvlText w:val="%1."/>
      <w:lvlJc w:val="left"/>
      <w:pPr>
        <w:ind w:left="1332" w:hanging="360"/>
      </w:pPr>
    </w:lvl>
    <w:lvl w:ilvl="1" w:tplc="08090019" w:tentative="1">
      <w:start w:val="1"/>
      <w:numFmt w:val="lowerLetter"/>
      <w:lvlText w:val="%2."/>
      <w:lvlJc w:val="left"/>
      <w:pPr>
        <w:ind w:left="2052" w:hanging="360"/>
      </w:pPr>
    </w:lvl>
    <w:lvl w:ilvl="2" w:tplc="0809001B" w:tentative="1">
      <w:start w:val="1"/>
      <w:numFmt w:val="lowerRoman"/>
      <w:lvlText w:val="%3."/>
      <w:lvlJc w:val="right"/>
      <w:pPr>
        <w:ind w:left="2772" w:hanging="180"/>
      </w:pPr>
    </w:lvl>
    <w:lvl w:ilvl="3" w:tplc="0809000F" w:tentative="1">
      <w:start w:val="1"/>
      <w:numFmt w:val="decimal"/>
      <w:lvlText w:val="%4."/>
      <w:lvlJc w:val="left"/>
      <w:pPr>
        <w:ind w:left="3492" w:hanging="360"/>
      </w:pPr>
    </w:lvl>
    <w:lvl w:ilvl="4" w:tplc="08090019" w:tentative="1">
      <w:start w:val="1"/>
      <w:numFmt w:val="lowerLetter"/>
      <w:lvlText w:val="%5."/>
      <w:lvlJc w:val="left"/>
      <w:pPr>
        <w:ind w:left="4212" w:hanging="360"/>
      </w:pPr>
    </w:lvl>
    <w:lvl w:ilvl="5" w:tplc="0809001B" w:tentative="1">
      <w:start w:val="1"/>
      <w:numFmt w:val="lowerRoman"/>
      <w:lvlText w:val="%6."/>
      <w:lvlJc w:val="right"/>
      <w:pPr>
        <w:ind w:left="4932" w:hanging="180"/>
      </w:pPr>
    </w:lvl>
    <w:lvl w:ilvl="6" w:tplc="0809000F" w:tentative="1">
      <w:start w:val="1"/>
      <w:numFmt w:val="decimal"/>
      <w:lvlText w:val="%7."/>
      <w:lvlJc w:val="left"/>
      <w:pPr>
        <w:ind w:left="5652" w:hanging="360"/>
      </w:pPr>
    </w:lvl>
    <w:lvl w:ilvl="7" w:tplc="08090019" w:tentative="1">
      <w:start w:val="1"/>
      <w:numFmt w:val="lowerLetter"/>
      <w:lvlText w:val="%8."/>
      <w:lvlJc w:val="left"/>
      <w:pPr>
        <w:ind w:left="6372" w:hanging="360"/>
      </w:pPr>
    </w:lvl>
    <w:lvl w:ilvl="8" w:tplc="0809001B" w:tentative="1">
      <w:start w:val="1"/>
      <w:numFmt w:val="lowerRoman"/>
      <w:lvlText w:val="%9."/>
      <w:lvlJc w:val="right"/>
      <w:pPr>
        <w:ind w:left="7092" w:hanging="180"/>
      </w:pPr>
    </w:lvl>
  </w:abstractNum>
  <w:abstractNum w:abstractNumId="11" w15:restartNumberingAfterBreak="0">
    <w:nsid w:val="2ECE50C3"/>
    <w:multiLevelType w:val="hybridMultilevel"/>
    <w:tmpl w:val="1708E8B6"/>
    <w:styleLink w:val="ImportedStyle1"/>
    <w:lvl w:ilvl="0" w:tplc="140EB6EC">
      <w:start w:val="1"/>
      <w:numFmt w:val="decimal"/>
      <w:lvlText w:val="%1."/>
      <w:lvlJc w:val="left"/>
      <w:pPr>
        <w:ind w:left="58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6868AE">
      <w:start w:val="1"/>
      <w:numFmt w:val="lowerLetter"/>
      <w:lvlText w:val="%2."/>
      <w:lvlJc w:val="left"/>
      <w:pPr>
        <w:ind w:left="145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D0B928">
      <w:start w:val="1"/>
      <w:numFmt w:val="lowerRoman"/>
      <w:lvlText w:val="%3."/>
      <w:lvlJc w:val="left"/>
      <w:pPr>
        <w:ind w:left="219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E8D2F4">
      <w:start w:val="1"/>
      <w:numFmt w:val="decimal"/>
      <w:lvlText w:val="%4."/>
      <w:lvlJc w:val="left"/>
      <w:pPr>
        <w:ind w:left="289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29490">
      <w:start w:val="1"/>
      <w:numFmt w:val="lowerLetter"/>
      <w:lvlText w:val="%5."/>
      <w:lvlJc w:val="left"/>
      <w:pPr>
        <w:ind w:left="361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0A11F4">
      <w:start w:val="1"/>
      <w:numFmt w:val="lowerRoman"/>
      <w:lvlText w:val="%6."/>
      <w:lvlJc w:val="left"/>
      <w:pPr>
        <w:ind w:left="435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B041BC">
      <w:start w:val="1"/>
      <w:numFmt w:val="decimal"/>
      <w:lvlText w:val="%7."/>
      <w:lvlJc w:val="left"/>
      <w:pPr>
        <w:ind w:left="505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7C96EE">
      <w:start w:val="1"/>
      <w:numFmt w:val="lowerLetter"/>
      <w:lvlText w:val="%8."/>
      <w:lvlJc w:val="left"/>
      <w:pPr>
        <w:ind w:left="577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4516A">
      <w:start w:val="1"/>
      <w:numFmt w:val="lowerRoman"/>
      <w:lvlText w:val="%9."/>
      <w:lvlJc w:val="left"/>
      <w:pPr>
        <w:ind w:left="651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69250A6"/>
    <w:multiLevelType w:val="hybridMultilevel"/>
    <w:tmpl w:val="C554DB72"/>
    <w:lvl w:ilvl="0" w:tplc="619AA4DA">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46A5773F"/>
    <w:multiLevelType w:val="hybridMultilevel"/>
    <w:tmpl w:val="DD164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584359B2"/>
    <w:multiLevelType w:val="hybridMultilevel"/>
    <w:tmpl w:val="896C958E"/>
    <w:lvl w:ilvl="0" w:tplc="0809000F">
      <w:start w:val="1"/>
      <w:numFmt w:val="decimal"/>
      <w:lvlText w:val="%1."/>
      <w:lvlJc w:val="left"/>
      <w:pPr>
        <w:ind w:left="2059" w:hanging="360"/>
      </w:pPr>
    </w:lvl>
    <w:lvl w:ilvl="1" w:tplc="08090019" w:tentative="1">
      <w:start w:val="1"/>
      <w:numFmt w:val="lowerLetter"/>
      <w:lvlText w:val="%2."/>
      <w:lvlJc w:val="left"/>
      <w:pPr>
        <w:ind w:left="2779" w:hanging="360"/>
      </w:pPr>
    </w:lvl>
    <w:lvl w:ilvl="2" w:tplc="0809001B" w:tentative="1">
      <w:start w:val="1"/>
      <w:numFmt w:val="lowerRoman"/>
      <w:lvlText w:val="%3."/>
      <w:lvlJc w:val="right"/>
      <w:pPr>
        <w:ind w:left="3499" w:hanging="180"/>
      </w:pPr>
    </w:lvl>
    <w:lvl w:ilvl="3" w:tplc="0809000F" w:tentative="1">
      <w:start w:val="1"/>
      <w:numFmt w:val="decimal"/>
      <w:lvlText w:val="%4."/>
      <w:lvlJc w:val="left"/>
      <w:pPr>
        <w:ind w:left="4219" w:hanging="360"/>
      </w:pPr>
    </w:lvl>
    <w:lvl w:ilvl="4" w:tplc="08090019" w:tentative="1">
      <w:start w:val="1"/>
      <w:numFmt w:val="lowerLetter"/>
      <w:lvlText w:val="%5."/>
      <w:lvlJc w:val="left"/>
      <w:pPr>
        <w:ind w:left="4939" w:hanging="360"/>
      </w:pPr>
    </w:lvl>
    <w:lvl w:ilvl="5" w:tplc="0809001B" w:tentative="1">
      <w:start w:val="1"/>
      <w:numFmt w:val="lowerRoman"/>
      <w:lvlText w:val="%6."/>
      <w:lvlJc w:val="right"/>
      <w:pPr>
        <w:ind w:left="5659" w:hanging="180"/>
      </w:pPr>
    </w:lvl>
    <w:lvl w:ilvl="6" w:tplc="0809000F" w:tentative="1">
      <w:start w:val="1"/>
      <w:numFmt w:val="decimal"/>
      <w:lvlText w:val="%7."/>
      <w:lvlJc w:val="left"/>
      <w:pPr>
        <w:ind w:left="6379" w:hanging="360"/>
      </w:pPr>
    </w:lvl>
    <w:lvl w:ilvl="7" w:tplc="08090019" w:tentative="1">
      <w:start w:val="1"/>
      <w:numFmt w:val="lowerLetter"/>
      <w:lvlText w:val="%8."/>
      <w:lvlJc w:val="left"/>
      <w:pPr>
        <w:ind w:left="7099" w:hanging="360"/>
      </w:pPr>
    </w:lvl>
    <w:lvl w:ilvl="8" w:tplc="0809001B" w:tentative="1">
      <w:start w:val="1"/>
      <w:numFmt w:val="lowerRoman"/>
      <w:lvlText w:val="%9."/>
      <w:lvlJc w:val="right"/>
      <w:pPr>
        <w:ind w:left="7819" w:hanging="180"/>
      </w:pPr>
    </w:lvl>
  </w:abstractNum>
  <w:abstractNum w:abstractNumId="18" w15:restartNumberingAfterBreak="0">
    <w:nsid w:val="595D1978"/>
    <w:multiLevelType w:val="hybridMultilevel"/>
    <w:tmpl w:val="88F0DB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CA5CAD"/>
    <w:multiLevelType w:val="hybridMultilevel"/>
    <w:tmpl w:val="1708E8B6"/>
    <w:numStyleLink w:val="ImportedStyle1"/>
  </w:abstractNum>
  <w:abstractNum w:abstractNumId="22"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3" w15:restartNumberingAfterBreak="0">
    <w:nsid w:val="78A05955"/>
    <w:multiLevelType w:val="hybridMultilevel"/>
    <w:tmpl w:val="08AAD8C6"/>
    <w:lvl w:ilvl="0" w:tplc="95C8AB9C">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24" w15:restartNumberingAfterBreak="0">
    <w:nsid w:val="79981534"/>
    <w:multiLevelType w:val="hybridMultilevel"/>
    <w:tmpl w:val="240671B8"/>
    <w:lvl w:ilvl="0" w:tplc="75D851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6"/>
  </w:num>
  <w:num w:numId="7">
    <w:abstractNumId w:val="4"/>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3"/>
  </w:num>
  <w:num w:numId="14">
    <w:abstractNumId w:val="22"/>
  </w:num>
  <w:num w:numId="15">
    <w:abstractNumId w:val="19"/>
  </w:num>
  <w:num w:numId="16">
    <w:abstractNumId w:val="10"/>
  </w:num>
  <w:num w:numId="17">
    <w:abstractNumId w:val="23"/>
  </w:num>
  <w:num w:numId="18">
    <w:abstractNumId w:val="17"/>
  </w:num>
  <w:num w:numId="19">
    <w:abstractNumId w:val="12"/>
  </w:num>
  <w:num w:numId="20">
    <w:abstractNumId w:val="11"/>
  </w:num>
  <w:num w:numId="21">
    <w:abstractNumId w:val="21"/>
  </w:num>
  <w:num w:numId="22">
    <w:abstractNumId w:val="21"/>
    <w:lvlOverride w:ilvl="0">
      <w:lvl w:ilvl="0" w:tplc="0A8AC724">
        <w:start w:val="1"/>
        <w:numFmt w:val="decimal"/>
        <w:lvlText w:val="%1."/>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BCA07D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F6E6C5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EA0062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342B5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886EE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F98BA7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94828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2EA34A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3">
    <w:abstractNumId w:val="5"/>
  </w:num>
  <w:num w:numId="24">
    <w:abstractNumId w:val="24"/>
  </w:num>
  <w:num w:numId="25">
    <w:abstractNumId w:val="1"/>
  </w:num>
  <w:num w:numId="26">
    <w:abstractNumId w:val="0"/>
  </w:num>
  <w:num w:numId="27">
    <w:abstractNumId w:val="14"/>
  </w:num>
  <w:num w:numId="28">
    <w:abstractNumId w:val="1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cwMjY0MDc3MTKwMDZX0lEKTi0uzszPAymwrAUAgvvinywAAAA="/>
    <w:docVar w:name="EN.InstantFormat" w:val="&lt;ENInstantFormat&gt;&lt;Enabled&gt;1&lt;/Enabled&gt;&lt;ScanUnformatted&gt;1&lt;/ScanUnformatted&gt;&lt;ScanChanges&gt;1&lt;/ScanChanges&gt;&lt;Suspended&gt;1&lt;/Suspended&gt;&lt;/ENInstantFormat&gt;"/>
  </w:docVars>
  <w:rsids>
    <w:rsidRoot w:val="00AD30DC"/>
    <w:rsid w:val="000135C5"/>
    <w:rsid w:val="00016703"/>
    <w:rsid w:val="00037CB5"/>
    <w:rsid w:val="00042A3A"/>
    <w:rsid w:val="000450F9"/>
    <w:rsid w:val="00060C12"/>
    <w:rsid w:val="0007012F"/>
    <w:rsid w:val="00073477"/>
    <w:rsid w:val="000800B1"/>
    <w:rsid w:val="00096AF5"/>
    <w:rsid w:val="000A748E"/>
    <w:rsid w:val="000B02A4"/>
    <w:rsid w:val="000B4CB2"/>
    <w:rsid w:val="000B5DB5"/>
    <w:rsid w:val="000C10A8"/>
    <w:rsid w:val="000D28E1"/>
    <w:rsid w:val="000E00A2"/>
    <w:rsid w:val="000E5933"/>
    <w:rsid w:val="000F1980"/>
    <w:rsid w:val="001147FC"/>
    <w:rsid w:val="0012346D"/>
    <w:rsid w:val="001270FF"/>
    <w:rsid w:val="001338C2"/>
    <w:rsid w:val="00156382"/>
    <w:rsid w:val="00171D89"/>
    <w:rsid w:val="00191A55"/>
    <w:rsid w:val="001C0C57"/>
    <w:rsid w:val="001E78FA"/>
    <w:rsid w:val="001F794A"/>
    <w:rsid w:val="0020274D"/>
    <w:rsid w:val="00225652"/>
    <w:rsid w:val="00236B69"/>
    <w:rsid w:val="002445EB"/>
    <w:rsid w:val="002527A1"/>
    <w:rsid w:val="002623A9"/>
    <w:rsid w:val="00264F4D"/>
    <w:rsid w:val="00271A71"/>
    <w:rsid w:val="002945B1"/>
    <w:rsid w:val="002D2C2F"/>
    <w:rsid w:val="002D7E4D"/>
    <w:rsid w:val="00303683"/>
    <w:rsid w:val="0030531D"/>
    <w:rsid w:val="00306F79"/>
    <w:rsid w:val="00316AF3"/>
    <w:rsid w:val="00320251"/>
    <w:rsid w:val="00336F7A"/>
    <w:rsid w:val="00351F4D"/>
    <w:rsid w:val="00352200"/>
    <w:rsid w:val="00374C08"/>
    <w:rsid w:val="003754B7"/>
    <w:rsid w:val="00395CCF"/>
    <w:rsid w:val="003F4AB3"/>
    <w:rsid w:val="003F61FD"/>
    <w:rsid w:val="00402C5F"/>
    <w:rsid w:val="00411515"/>
    <w:rsid w:val="00451330"/>
    <w:rsid w:val="00466852"/>
    <w:rsid w:val="004765DB"/>
    <w:rsid w:val="004800C3"/>
    <w:rsid w:val="004910D1"/>
    <w:rsid w:val="004A02A0"/>
    <w:rsid w:val="004C0F12"/>
    <w:rsid w:val="004C533C"/>
    <w:rsid w:val="004D69FA"/>
    <w:rsid w:val="004D7E0A"/>
    <w:rsid w:val="004E3216"/>
    <w:rsid w:val="0050691A"/>
    <w:rsid w:val="0052645F"/>
    <w:rsid w:val="00535511"/>
    <w:rsid w:val="005545DE"/>
    <w:rsid w:val="00554DD8"/>
    <w:rsid w:val="00595A72"/>
    <w:rsid w:val="005B3D6E"/>
    <w:rsid w:val="005B3DB1"/>
    <w:rsid w:val="005B4C6C"/>
    <w:rsid w:val="005B6F5D"/>
    <w:rsid w:val="005D0045"/>
    <w:rsid w:val="005D0372"/>
    <w:rsid w:val="005E0E45"/>
    <w:rsid w:val="005E3940"/>
    <w:rsid w:val="005F479B"/>
    <w:rsid w:val="0060021B"/>
    <w:rsid w:val="00604F70"/>
    <w:rsid w:val="006103AF"/>
    <w:rsid w:val="00616586"/>
    <w:rsid w:val="006218BD"/>
    <w:rsid w:val="00640A3D"/>
    <w:rsid w:val="00644990"/>
    <w:rsid w:val="0064642C"/>
    <w:rsid w:val="00657AE7"/>
    <w:rsid w:val="006657E2"/>
    <w:rsid w:val="006705C9"/>
    <w:rsid w:val="00676BA3"/>
    <w:rsid w:val="00682744"/>
    <w:rsid w:val="006950AE"/>
    <w:rsid w:val="006A414A"/>
    <w:rsid w:val="006B7F60"/>
    <w:rsid w:val="006C5FEB"/>
    <w:rsid w:val="006D0BEA"/>
    <w:rsid w:val="006D1D71"/>
    <w:rsid w:val="006F6D23"/>
    <w:rsid w:val="00715AF8"/>
    <w:rsid w:val="00730E6C"/>
    <w:rsid w:val="0073386A"/>
    <w:rsid w:val="007349E2"/>
    <w:rsid w:val="00736DC6"/>
    <w:rsid w:val="00740923"/>
    <w:rsid w:val="00744E9D"/>
    <w:rsid w:val="007506DE"/>
    <w:rsid w:val="007613C2"/>
    <w:rsid w:val="00766D3F"/>
    <w:rsid w:val="00775C56"/>
    <w:rsid w:val="00784821"/>
    <w:rsid w:val="00793638"/>
    <w:rsid w:val="00796A82"/>
    <w:rsid w:val="00797D79"/>
    <w:rsid w:val="007A21A3"/>
    <w:rsid w:val="007A45F3"/>
    <w:rsid w:val="007A7815"/>
    <w:rsid w:val="007B1DF0"/>
    <w:rsid w:val="007C09DF"/>
    <w:rsid w:val="007C30F0"/>
    <w:rsid w:val="007D1161"/>
    <w:rsid w:val="00806BCA"/>
    <w:rsid w:val="00824374"/>
    <w:rsid w:val="0082490C"/>
    <w:rsid w:val="0083618B"/>
    <w:rsid w:val="00853AA2"/>
    <w:rsid w:val="00861723"/>
    <w:rsid w:val="00875682"/>
    <w:rsid w:val="008807E3"/>
    <w:rsid w:val="00885168"/>
    <w:rsid w:val="008A1D98"/>
    <w:rsid w:val="008A5B63"/>
    <w:rsid w:val="008B3DF3"/>
    <w:rsid w:val="008D0E94"/>
    <w:rsid w:val="008D7506"/>
    <w:rsid w:val="008F50F9"/>
    <w:rsid w:val="008F6707"/>
    <w:rsid w:val="00916511"/>
    <w:rsid w:val="009201F7"/>
    <w:rsid w:val="009235DB"/>
    <w:rsid w:val="00925EE6"/>
    <w:rsid w:val="00930549"/>
    <w:rsid w:val="0094540C"/>
    <w:rsid w:val="00945D5E"/>
    <w:rsid w:val="00946E1C"/>
    <w:rsid w:val="00947392"/>
    <w:rsid w:val="00951681"/>
    <w:rsid w:val="00953A9B"/>
    <w:rsid w:val="0096447C"/>
    <w:rsid w:val="009734B5"/>
    <w:rsid w:val="009A4738"/>
    <w:rsid w:val="009B1138"/>
    <w:rsid w:val="009B4B23"/>
    <w:rsid w:val="009E184E"/>
    <w:rsid w:val="009E2BF5"/>
    <w:rsid w:val="009F0F9B"/>
    <w:rsid w:val="009F3897"/>
    <w:rsid w:val="009F4589"/>
    <w:rsid w:val="00A07119"/>
    <w:rsid w:val="00A21194"/>
    <w:rsid w:val="00A25215"/>
    <w:rsid w:val="00A357BC"/>
    <w:rsid w:val="00A37330"/>
    <w:rsid w:val="00A5372A"/>
    <w:rsid w:val="00A96603"/>
    <w:rsid w:val="00AA0D05"/>
    <w:rsid w:val="00AA20B0"/>
    <w:rsid w:val="00AA58E8"/>
    <w:rsid w:val="00AA7A58"/>
    <w:rsid w:val="00AB3AC9"/>
    <w:rsid w:val="00AB42F8"/>
    <w:rsid w:val="00AC59F1"/>
    <w:rsid w:val="00AC6CAC"/>
    <w:rsid w:val="00AD30DC"/>
    <w:rsid w:val="00AF1245"/>
    <w:rsid w:val="00B001DD"/>
    <w:rsid w:val="00B020AD"/>
    <w:rsid w:val="00B20FFA"/>
    <w:rsid w:val="00B4669B"/>
    <w:rsid w:val="00B60A70"/>
    <w:rsid w:val="00B65D27"/>
    <w:rsid w:val="00B80209"/>
    <w:rsid w:val="00B96E69"/>
    <w:rsid w:val="00BB1AFF"/>
    <w:rsid w:val="00BB5BCD"/>
    <w:rsid w:val="00BC3CAF"/>
    <w:rsid w:val="00BD78B5"/>
    <w:rsid w:val="00BE2297"/>
    <w:rsid w:val="00BE2A31"/>
    <w:rsid w:val="00BE2B96"/>
    <w:rsid w:val="00C00131"/>
    <w:rsid w:val="00C27A37"/>
    <w:rsid w:val="00C27C13"/>
    <w:rsid w:val="00C335C5"/>
    <w:rsid w:val="00C44014"/>
    <w:rsid w:val="00C47036"/>
    <w:rsid w:val="00C574DB"/>
    <w:rsid w:val="00C67846"/>
    <w:rsid w:val="00C71D21"/>
    <w:rsid w:val="00C7717C"/>
    <w:rsid w:val="00CA0D76"/>
    <w:rsid w:val="00CC3469"/>
    <w:rsid w:val="00CD050A"/>
    <w:rsid w:val="00CD56BE"/>
    <w:rsid w:val="00CE2509"/>
    <w:rsid w:val="00CE5480"/>
    <w:rsid w:val="00CE62E0"/>
    <w:rsid w:val="00CF2B94"/>
    <w:rsid w:val="00D02E63"/>
    <w:rsid w:val="00D36A35"/>
    <w:rsid w:val="00D46071"/>
    <w:rsid w:val="00D46E18"/>
    <w:rsid w:val="00D50C01"/>
    <w:rsid w:val="00D511C3"/>
    <w:rsid w:val="00D81DAC"/>
    <w:rsid w:val="00D92D8E"/>
    <w:rsid w:val="00DA745C"/>
    <w:rsid w:val="00DB100B"/>
    <w:rsid w:val="00DB42CF"/>
    <w:rsid w:val="00DB60DB"/>
    <w:rsid w:val="00DB6432"/>
    <w:rsid w:val="00DB6629"/>
    <w:rsid w:val="00DC3A1F"/>
    <w:rsid w:val="00DC6144"/>
    <w:rsid w:val="00DD1ABE"/>
    <w:rsid w:val="00DF19F1"/>
    <w:rsid w:val="00E14FC6"/>
    <w:rsid w:val="00E31008"/>
    <w:rsid w:val="00E4402D"/>
    <w:rsid w:val="00E60621"/>
    <w:rsid w:val="00E7237D"/>
    <w:rsid w:val="00E95316"/>
    <w:rsid w:val="00EA20AB"/>
    <w:rsid w:val="00EA3514"/>
    <w:rsid w:val="00EA388A"/>
    <w:rsid w:val="00EA78C5"/>
    <w:rsid w:val="00EB64B8"/>
    <w:rsid w:val="00EC368D"/>
    <w:rsid w:val="00EC4955"/>
    <w:rsid w:val="00EC7BA8"/>
    <w:rsid w:val="00EF70C7"/>
    <w:rsid w:val="00F15B4F"/>
    <w:rsid w:val="00F4291D"/>
    <w:rsid w:val="00F5057B"/>
    <w:rsid w:val="00F74C28"/>
    <w:rsid w:val="00F76184"/>
    <w:rsid w:val="00FC71F6"/>
    <w:rsid w:val="00FE217B"/>
    <w:rsid w:val="00FE7BF6"/>
    <w:rsid w:val="00FF23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BA619"/>
  <w15:docId w15:val="{8646BC22-209D-47CE-83CA-2C47E685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DC"/>
    <w:pPr>
      <w:spacing w:after="0" w:line="228" w:lineRule="auto"/>
      <w:ind w:left="720" w:right="475" w:firstLine="432"/>
      <w:jc w:val="both"/>
    </w:pPr>
    <w:rPr>
      <w:rFonts w:ascii="Palatino Linotype" w:eastAsia="SimSun" w:hAnsi="Palatino Linotype" w:cs="Times New Roman"/>
      <w:noProof/>
      <w:color w:val="00000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D30DC"/>
    <w:pPr>
      <w:adjustRightInd w:val="0"/>
      <w:snapToGrid w:val="0"/>
      <w:spacing w:before="240" w:after="0" w:line="228" w:lineRule="auto"/>
      <w:ind w:left="720" w:right="475" w:firstLine="432"/>
      <w:jc w:val="both"/>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AD30DC"/>
    <w:pPr>
      <w:adjustRightInd w:val="0"/>
      <w:snapToGrid w:val="0"/>
      <w:spacing w:after="240" w:line="240" w:lineRule="atLeast"/>
      <w:ind w:left="720" w:right="475" w:firstLine="432"/>
      <w:jc w:val="both"/>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AD30DC"/>
    <w:pPr>
      <w:adjustRightInd w:val="0"/>
      <w:snapToGrid w:val="0"/>
      <w:spacing w:after="360" w:line="260" w:lineRule="atLeast"/>
      <w:ind w:left="720" w:right="475" w:firstLine="432"/>
      <w:jc w:val="both"/>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AD30D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D30DC"/>
    <w:pPr>
      <w:adjustRightInd w:val="0"/>
      <w:snapToGrid w:val="0"/>
      <w:spacing w:after="0" w:line="200" w:lineRule="atLeast"/>
      <w:ind w:left="2806" w:right="475" w:hanging="198"/>
      <w:jc w:val="both"/>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AD30DC"/>
    <w:pPr>
      <w:adjustRightInd w:val="0"/>
      <w:snapToGrid w:val="0"/>
      <w:spacing w:before="240" w:after="0" w:line="260" w:lineRule="atLeast"/>
      <w:ind w:left="2608" w:right="475" w:firstLine="432"/>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Normal"/>
    <w:qFormat/>
    <w:rsid w:val="00AD30DC"/>
    <w:pPr>
      <w:adjustRightInd w:val="0"/>
      <w:snapToGrid w:val="0"/>
      <w:spacing w:before="240" w:after="0" w:line="260" w:lineRule="atLeast"/>
      <w:ind w:left="2608" w:right="475" w:firstLine="432"/>
      <w:jc w:val="both"/>
    </w:pPr>
    <w:rPr>
      <w:rFonts w:ascii="Palatino Linotype" w:eastAsia="Times New Roman" w:hAnsi="Palatino Linotype" w:cs="Times New Roman"/>
      <w:snapToGrid w:val="0"/>
      <w:color w:val="000000"/>
      <w:sz w:val="18"/>
      <w:lang w:eastAsia="de-DE" w:bidi="en-US"/>
    </w:rPr>
  </w:style>
  <w:style w:type="paragraph" w:customStyle="1" w:styleId="MDPI19line">
    <w:name w:val="MDPI_1.9_line"/>
    <w:qFormat/>
    <w:rsid w:val="00AD30DC"/>
    <w:pPr>
      <w:pBdr>
        <w:bottom w:val="single" w:sz="6" w:space="1" w:color="auto"/>
      </w:pBdr>
      <w:adjustRightInd w:val="0"/>
      <w:snapToGrid w:val="0"/>
      <w:spacing w:after="480" w:line="260" w:lineRule="atLeast"/>
      <w:ind w:left="2608" w:right="475" w:firstLine="432"/>
      <w:jc w:val="both"/>
    </w:pPr>
    <w:rPr>
      <w:rFonts w:ascii="Palatino Linotype" w:eastAsia="Times New Roman" w:hAnsi="Palatino Linotype" w:cs="Cordia New"/>
      <w:color w:val="000000"/>
      <w:sz w:val="20"/>
      <w:szCs w:val="24"/>
      <w:lang w:eastAsia="de-DE" w:bidi="en-US"/>
    </w:rPr>
  </w:style>
  <w:style w:type="paragraph" w:styleId="Footer">
    <w:name w:val="footer"/>
    <w:basedOn w:val="Normal"/>
    <w:link w:val="FooterChar"/>
    <w:uiPriority w:val="99"/>
    <w:rsid w:val="00AD30D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D30DC"/>
    <w:rPr>
      <w:rFonts w:ascii="Palatino Linotype" w:eastAsia="SimSun" w:hAnsi="Palatino Linotype" w:cs="Times New Roman"/>
      <w:noProof/>
      <w:color w:val="000000"/>
      <w:sz w:val="20"/>
      <w:szCs w:val="18"/>
      <w:lang w:eastAsia="zh-CN"/>
    </w:rPr>
  </w:style>
  <w:style w:type="paragraph" w:styleId="Header">
    <w:name w:val="header"/>
    <w:basedOn w:val="Normal"/>
    <w:link w:val="HeaderChar"/>
    <w:uiPriority w:val="99"/>
    <w:rsid w:val="00AD30D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D30DC"/>
    <w:rPr>
      <w:rFonts w:ascii="Palatino Linotype" w:eastAsia="SimSun" w:hAnsi="Palatino Linotype" w:cs="Times New Roman"/>
      <w:noProof/>
      <w:color w:val="000000"/>
      <w:sz w:val="20"/>
      <w:szCs w:val="18"/>
      <w:lang w:eastAsia="zh-CN"/>
    </w:rPr>
  </w:style>
  <w:style w:type="paragraph" w:customStyle="1" w:styleId="MDPIheaderjournallogo">
    <w:name w:val="MDPI_header_journal_logo"/>
    <w:qFormat/>
    <w:rsid w:val="00AD30DC"/>
    <w:pPr>
      <w:adjustRightInd w:val="0"/>
      <w:snapToGrid w:val="0"/>
      <w:spacing w:after="0" w:line="260" w:lineRule="atLeast"/>
      <w:ind w:left="720" w:right="475" w:firstLine="432"/>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AD30DC"/>
    <w:pPr>
      <w:ind w:firstLine="0"/>
    </w:pPr>
  </w:style>
  <w:style w:type="paragraph" w:customStyle="1" w:styleId="MDPI31text">
    <w:name w:val="MDPI_3.1_text"/>
    <w:qFormat/>
    <w:rsid w:val="00AD30DC"/>
    <w:pPr>
      <w:adjustRightInd w:val="0"/>
      <w:snapToGrid w:val="0"/>
      <w:spacing w:after="0" w:line="228" w:lineRule="auto"/>
      <w:ind w:left="2608" w:right="475"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AD30DC"/>
    <w:pPr>
      <w:adjustRightInd w:val="0"/>
      <w:snapToGrid w:val="0"/>
      <w:spacing w:after="24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AD30DC"/>
    <w:pPr>
      <w:adjustRightInd w:val="0"/>
      <w:snapToGrid w:val="0"/>
      <w:spacing w:before="240"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AD30DC"/>
    <w:pPr>
      <w:adjustRightInd w:val="0"/>
      <w:snapToGrid w:val="0"/>
      <w:spacing w:after="0" w:line="228" w:lineRule="auto"/>
      <w:ind w:left="2608" w:right="475"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AD30DC"/>
    <w:pPr>
      <w:adjustRightInd w:val="0"/>
      <w:snapToGrid w:val="0"/>
      <w:spacing w:before="120"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AD30DC"/>
    <w:pPr>
      <w:numPr>
        <w:numId w:val="14"/>
      </w:numPr>
      <w:adjustRightInd w:val="0"/>
      <w:snapToGrid w:val="0"/>
      <w:spacing w:after="0" w:line="228" w:lineRule="auto"/>
      <w:ind w:right="475"/>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AD30DC"/>
    <w:pPr>
      <w:adjustRightInd w:val="0"/>
      <w:snapToGrid w:val="0"/>
      <w:spacing w:after="0" w:line="228" w:lineRule="auto"/>
      <w:ind w:left="3033" w:right="475" w:hanging="425"/>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AD30DC"/>
    <w:pPr>
      <w:adjustRightInd w:val="0"/>
      <w:snapToGrid w:val="0"/>
      <w:spacing w:before="120" w:after="120" w:line="260" w:lineRule="atLeast"/>
      <w:ind w:left="709" w:right="475" w:firstLine="432"/>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AD30DC"/>
    <w:pPr>
      <w:spacing w:before="120" w:after="120" w:line="228" w:lineRule="auto"/>
      <w:ind w:left="720" w:right="475" w:firstLine="432"/>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AD30DC"/>
    <w:pPr>
      <w:adjustRightInd w:val="0"/>
      <w:snapToGrid w:val="0"/>
      <w:spacing w:before="240" w:after="120" w:line="228" w:lineRule="auto"/>
      <w:ind w:left="2608" w:right="475" w:firstLine="432"/>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AD30DC"/>
    <w:pPr>
      <w:adjustRightInd w:val="0"/>
      <w:snapToGrid w:val="0"/>
      <w:spacing w:after="0" w:line="260" w:lineRule="atLeast"/>
      <w:ind w:left="720" w:right="475" w:firstLine="432"/>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AD30DC"/>
    <w:pPr>
      <w:adjustRightInd w:val="0"/>
      <w:snapToGrid w:val="0"/>
      <w:spacing w:after="0" w:line="228" w:lineRule="auto"/>
      <w:ind w:left="2608" w:right="475" w:firstLine="432"/>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AD30DC"/>
    <w:pPr>
      <w:adjustRightInd w:val="0"/>
      <w:snapToGrid w:val="0"/>
      <w:spacing w:before="120" w:after="240" w:line="228" w:lineRule="auto"/>
      <w:ind w:left="2608" w:right="475" w:firstLine="432"/>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AD30DC"/>
    <w:pPr>
      <w:adjustRightInd w:val="0"/>
      <w:snapToGrid w:val="0"/>
      <w:spacing w:before="240" w:after="120" w:line="228" w:lineRule="auto"/>
      <w:ind w:left="720" w:right="475" w:firstLine="432"/>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AD30DC"/>
    <w:pPr>
      <w:adjustRightInd w:val="0"/>
      <w:snapToGrid w:val="0"/>
      <w:spacing w:after="0" w:line="228" w:lineRule="auto"/>
      <w:ind w:left="2608" w:right="475" w:firstLine="432"/>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AD30DC"/>
    <w:pPr>
      <w:adjustRightInd w:val="0"/>
      <w:snapToGrid w:val="0"/>
      <w:spacing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footerfirstpage">
    <w:name w:val="MDPI_footer_firstpage"/>
    <w:qFormat/>
    <w:rsid w:val="00AD30DC"/>
    <w:pPr>
      <w:tabs>
        <w:tab w:val="right" w:pos="8845"/>
      </w:tabs>
      <w:spacing w:after="0" w:line="160" w:lineRule="exact"/>
      <w:ind w:left="720" w:right="475" w:firstLine="432"/>
      <w:jc w:val="both"/>
    </w:pPr>
    <w:rPr>
      <w:rFonts w:ascii="Palatino Linotype" w:eastAsia="Times New Roman" w:hAnsi="Palatino Linotype" w:cs="Times New Roman"/>
      <w:color w:val="000000"/>
      <w:sz w:val="16"/>
      <w:szCs w:val="20"/>
      <w:lang w:eastAsia="de-DE"/>
    </w:rPr>
  </w:style>
  <w:style w:type="paragraph" w:customStyle="1" w:styleId="MDPI23heading3">
    <w:name w:val="MDPI_2.3_heading3"/>
    <w:qFormat/>
    <w:rsid w:val="00AD30DC"/>
    <w:pPr>
      <w:adjustRightInd w:val="0"/>
      <w:snapToGrid w:val="0"/>
      <w:spacing w:before="60" w:after="60" w:line="228" w:lineRule="auto"/>
      <w:ind w:left="2608" w:right="475" w:firstLine="432"/>
      <w:jc w:val="both"/>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AD30DC"/>
    <w:pPr>
      <w:adjustRightInd w:val="0"/>
      <w:snapToGrid w:val="0"/>
      <w:spacing w:before="240" w:after="60" w:line="228" w:lineRule="auto"/>
      <w:ind w:left="2608" w:right="475" w:firstLine="432"/>
      <w:jc w:val="both"/>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AD30DC"/>
    <w:pPr>
      <w:adjustRightInd w:val="0"/>
      <w:snapToGrid w:val="0"/>
      <w:spacing w:before="60" w:after="60" w:line="228" w:lineRule="auto"/>
      <w:ind w:left="2608" w:right="475" w:firstLine="432"/>
      <w:jc w:val="both"/>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qFormat/>
    <w:rsid w:val="00AD30DC"/>
    <w:pPr>
      <w:numPr>
        <w:numId w:val="15"/>
      </w:numPr>
      <w:adjustRightInd w:val="0"/>
      <w:snapToGrid w:val="0"/>
      <w:spacing w:after="0" w:line="228" w:lineRule="auto"/>
      <w:ind w:right="475"/>
      <w:jc w:val="both"/>
    </w:pPr>
    <w:rPr>
      <w:rFonts w:ascii="Palatino Linotype" w:eastAsia="Times New Roman" w:hAnsi="Palatino Linotype" w:cs="Times New Roman"/>
      <w:color w:val="000000"/>
      <w:sz w:val="18"/>
      <w:szCs w:val="20"/>
      <w:lang w:eastAsia="de-DE" w:bidi="en-US"/>
    </w:rPr>
  </w:style>
  <w:style w:type="paragraph" w:styleId="BalloonText">
    <w:name w:val="Balloon Text"/>
    <w:basedOn w:val="Normal"/>
    <w:link w:val="BalloonTextChar"/>
    <w:uiPriority w:val="99"/>
    <w:rsid w:val="00AD30DC"/>
    <w:rPr>
      <w:rFonts w:cs="Tahoma"/>
      <w:szCs w:val="18"/>
    </w:rPr>
  </w:style>
  <w:style w:type="character" w:customStyle="1" w:styleId="BalloonTextChar">
    <w:name w:val="Balloon Text Char"/>
    <w:link w:val="BalloonText"/>
    <w:uiPriority w:val="99"/>
    <w:rsid w:val="00AD30DC"/>
    <w:rPr>
      <w:rFonts w:ascii="Palatino Linotype" w:eastAsia="SimSun" w:hAnsi="Palatino Linotype" w:cs="Tahoma"/>
      <w:noProof/>
      <w:color w:val="000000"/>
      <w:sz w:val="20"/>
      <w:szCs w:val="18"/>
      <w:lang w:eastAsia="zh-CN"/>
    </w:rPr>
  </w:style>
  <w:style w:type="character" w:styleId="LineNumber">
    <w:name w:val="line number"/>
    <w:uiPriority w:val="99"/>
    <w:rsid w:val="00AD30DC"/>
    <w:rPr>
      <w:rFonts w:ascii="Palatino Linotype" w:hAnsi="Palatino Linotype"/>
      <w:sz w:val="16"/>
    </w:rPr>
  </w:style>
  <w:style w:type="table" w:customStyle="1" w:styleId="MDPI41threelinetable">
    <w:name w:val="MDPI_4.1_three_line_table"/>
    <w:basedOn w:val="TableNormal"/>
    <w:uiPriority w:val="99"/>
    <w:rsid w:val="00AD30DC"/>
    <w:pPr>
      <w:adjustRightInd w:val="0"/>
      <w:snapToGrid w:val="0"/>
      <w:spacing w:after="0" w:line="228" w:lineRule="auto"/>
      <w:ind w:left="720" w:right="475" w:firstLine="432"/>
      <w:jc w:val="center"/>
    </w:pPr>
    <w:rPr>
      <w:rFonts w:ascii="Palatino Linotype" w:eastAsia="SimSun"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D30DC"/>
    <w:rPr>
      <w:color w:val="0000FF"/>
      <w:u w:val="single"/>
    </w:rPr>
  </w:style>
  <w:style w:type="character" w:customStyle="1" w:styleId="UnresolvedMention1">
    <w:name w:val="Unresolved Mention1"/>
    <w:uiPriority w:val="99"/>
    <w:semiHidden/>
    <w:unhideWhenUsed/>
    <w:rsid w:val="00AD30DC"/>
    <w:rPr>
      <w:color w:val="605E5C"/>
      <w:shd w:val="clear" w:color="auto" w:fill="E1DFDD"/>
    </w:rPr>
  </w:style>
  <w:style w:type="table" w:styleId="TableGrid">
    <w:name w:val="Table Grid"/>
    <w:basedOn w:val="TableNormal"/>
    <w:uiPriority w:val="39"/>
    <w:rsid w:val="00AD30DC"/>
    <w:pPr>
      <w:spacing w:after="0" w:line="260" w:lineRule="atLeast"/>
      <w:ind w:left="720" w:right="475" w:firstLine="432"/>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AD30DC"/>
    <w:pPr>
      <w:spacing w:after="0" w:line="228" w:lineRule="auto"/>
      <w:ind w:left="720" w:right="475" w:firstLine="432"/>
      <w:jc w:val="both"/>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D30DC"/>
    <w:pPr>
      <w:adjustRightInd w:val="0"/>
      <w:snapToGrid w:val="0"/>
      <w:spacing w:after="0" w:line="240" w:lineRule="atLeast"/>
      <w:ind w:left="720" w:right="113" w:firstLine="432"/>
      <w:jc w:val="both"/>
    </w:pPr>
    <w:rPr>
      <w:rFonts w:ascii="Palatino Linotype" w:eastAsia="SimSun" w:hAnsi="Palatino Linotype" w:cs="Cordia New"/>
      <w:sz w:val="14"/>
      <w:lang w:eastAsia="zh-CN"/>
    </w:rPr>
  </w:style>
  <w:style w:type="paragraph" w:customStyle="1" w:styleId="MDPI62BackMatter">
    <w:name w:val="MDPI_6.2_BackMatter"/>
    <w:qFormat/>
    <w:rsid w:val="00AD30DC"/>
    <w:pPr>
      <w:adjustRightInd w:val="0"/>
      <w:snapToGrid w:val="0"/>
      <w:spacing w:after="120" w:line="228" w:lineRule="auto"/>
      <w:ind w:left="2608" w:right="475" w:firstLine="432"/>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AD30DC"/>
    <w:pPr>
      <w:adjustRightInd w:val="0"/>
      <w:snapToGrid w:val="0"/>
      <w:spacing w:after="120" w:line="240" w:lineRule="atLeast"/>
      <w:ind w:left="720" w:right="113" w:firstLine="432"/>
      <w:jc w:val="both"/>
    </w:pPr>
    <w:rPr>
      <w:rFonts w:ascii="Palatino Linotype" w:eastAsia="SimSun" w:hAnsi="Palatino Linotype" w:cs="Times New Roman"/>
      <w:snapToGrid w:val="0"/>
      <w:color w:val="000000"/>
      <w:sz w:val="14"/>
      <w:szCs w:val="20"/>
      <w:lang w:bidi="en-US"/>
    </w:rPr>
  </w:style>
  <w:style w:type="paragraph" w:customStyle="1" w:styleId="MDPI15academiceditor">
    <w:name w:val="MDPI_1.5_academic_editor"/>
    <w:qFormat/>
    <w:rsid w:val="00AD30DC"/>
    <w:pPr>
      <w:adjustRightInd w:val="0"/>
      <w:snapToGrid w:val="0"/>
      <w:spacing w:before="120" w:after="0" w:line="240" w:lineRule="atLeast"/>
      <w:ind w:left="720" w:right="113" w:firstLine="432"/>
      <w:jc w:val="both"/>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AD30DC"/>
    <w:pPr>
      <w:spacing w:before="240" w:after="0" w:line="260" w:lineRule="atLeast"/>
      <w:ind w:left="113" w:right="475" w:firstLine="432"/>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AD30DC"/>
    <w:pPr>
      <w:adjustRightInd w:val="0"/>
      <w:snapToGrid w:val="0"/>
      <w:spacing w:before="240" w:after="120" w:line="260" w:lineRule="atLeast"/>
      <w:ind w:left="720" w:right="475" w:firstLine="432"/>
      <w:jc w:val="center"/>
    </w:pPr>
    <w:rPr>
      <w:rFonts w:ascii="Palatino Linotype" w:eastAsia="SimSun" w:hAnsi="Palatino Linotype" w:cs="Cordia New"/>
      <w:noProof/>
      <w:color w:val="000000"/>
      <w:sz w:val="18"/>
      <w:lang w:eastAsia="zh-CN" w:bidi="en-US"/>
    </w:rPr>
  </w:style>
  <w:style w:type="paragraph" w:customStyle="1" w:styleId="MDPI511onefigurecaption">
    <w:name w:val="MDPI_5.1.1_one_figure_caption"/>
    <w:qFormat/>
    <w:rsid w:val="00AD30DC"/>
    <w:pPr>
      <w:adjustRightInd w:val="0"/>
      <w:snapToGrid w:val="0"/>
      <w:spacing w:before="240" w:after="120" w:line="260" w:lineRule="atLeast"/>
      <w:ind w:left="720" w:right="475" w:firstLine="432"/>
      <w:jc w:val="center"/>
    </w:pPr>
    <w:rPr>
      <w:rFonts w:ascii="Palatino Linotype" w:eastAsia="SimSun" w:hAnsi="Palatino Linotype" w:cs="Times New Roman"/>
      <w:noProof/>
      <w:color w:val="000000"/>
      <w:sz w:val="18"/>
      <w:szCs w:val="20"/>
      <w:lang w:eastAsia="zh-CN" w:bidi="en-US"/>
    </w:rPr>
  </w:style>
  <w:style w:type="paragraph" w:customStyle="1" w:styleId="MDPI72Copyright">
    <w:name w:val="MDPI_7.2_Copyright"/>
    <w:qFormat/>
    <w:rsid w:val="00AD30DC"/>
    <w:pPr>
      <w:adjustRightInd w:val="0"/>
      <w:snapToGrid w:val="0"/>
      <w:spacing w:before="240" w:after="0" w:line="240" w:lineRule="atLeast"/>
      <w:ind w:left="720" w:right="113" w:firstLine="432"/>
      <w:jc w:val="both"/>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AD30DC"/>
    <w:pPr>
      <w:adjustRightInd w:val="0"/>
      <w:snapToGrid w:val="0"/>
      <w:spacing w:after="100" w:line="260" w:lineRule="atLeast"/>
      <w:ind w:left="720" w:right="475" w:firstLine="432"/>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AD30DC"/>
    <w:pPr>
      <w:adjustRightInd w:val="0"/>
      <w:snapToGrid w:val="0"/>
      <w:spacing w:before="120" w:after="120" w:line="228" w:lineRule="auto"/>
      <w:ind w:left="720" w:right="475" w:firstLine="432"/>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AD30DC"/>
    <w:pPr>
      <w:adjustRightInd w:val="0"/>
      <w:snapToGrid w:val="0"/>
      <w:spacing w:before="120" w:after="0" w:line="260" w:lineRule="atLeast"/>
      <w:ind w:left="720" w:right="475" w:firstLine="432"/>
      <w:jc w:val="center"/>
    </w:pPr>
    <w:rPr>
      <w:rFonts w:ascii="Palatino Linotype" w:eastAsia="Times New Roman" w:hAnsi="Palatino Linotype" w:cs="Times New Roman"/>
      <w:color w:val="000000"/>
      <w:sz w:val="20"/>
      <w:szCs w:val="20"/>
      <w:lang w:eastAsia="de-DE"/>
    </w:rPr>
  </w:style>
  <w:style w:type="paragraph" w:customStyle="1" w:styleId="MDPIheader">
    <w:name w:val="MDPI_header"/>
    <w:qFormat/>
    <w:rsid w:val="00AD30DC"/>
    <w:pPr>
      <w:adjustRightInd w:val="0"/>
      <w:snapToGrid w:val="0"/>
      <w:spacing w:after="240" w:line="260" w:lineRule="atLeast"/>
      <w:ind w:left="720" w:right="475" w:firstLine="432"/>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AD30DC"/>
    <w:pPr>
      <w:spacing w:after="240" w:line="228" w:lineRule="auto"/>
      <w:ind w:left="720" w:right="475" w:firstLine="432"/>
      <w:jc w:val="both"/>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AD30DC"/>
    <w:pPr>
      <w:adjustRightInd w:val="0"/>
      <w:snapToGrid w:val="0"/>
      <w:spacing w:after="0" w:line="260" w:lineRule="atLeast"/>
      <w:ind w:left="720" w:right="475" w:firstLine="432"/>
      <w:jc w:val="right"/>
    </w:pPr>
    <w:rPr>
      <w:rFonts w:ascii="Palatino Linotype" w:eastAsia="Times New Roman" w:hAnsi="Palatino Linotype" w:cs="Times New Roman"/>
      <w:color w:val="000000"/>
      <w:sz w:val="24"/>
      <w:lang w:eastAsia="de-CH"/>
    </w:rPr>
  </w:style>
  <w:style w:type="table" w:customStyle="1" w:styleId="MDPITable">
    <w:name w:val="MDPI_Table"/>
    <w:basedOn w:val="TableNormal"/>
    <w:uiPriority w:val="99"/>
    <w:rsid w:val="00AD30DC"/>
    <w:pPr>
      <w:spacing w:after="0" w:line="228" w:lineRule="auto"/>
      <w:ind w:left="720" w:right="475" w:firstLine="432"/>
      <w:jc w:val="both"/>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AD30DC"/>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AD30DC"/>
    <w:pPr>
      <w:adjustRightInd w:val="0"/>
      <w:snapToGrid w:val="0"/>
      <w:spacing w:after="240" w:line="260" w:lineRule="atLeast"/>
      <w:ind w:left="720" w:right="475" w:firstLine="432"/>
      <w:jc w:val="both"/>
    </w:pPr>
    <w:rPr>
      <w:rFonts w:ascii="Palatino Linotype" w:eastAsia="Times New Roman" w:hAnsi="Palatino Linotype" w:cs="Times New Roman"/>
      <w:b/>
      <w:snapToGrid w:val="0"/>
      <w:color w:val="000000"/>
      <w:sz w:val="36"/>
      <w:szCs w:val="20"/>
      <w:lang w:eastAsia="de-DE" w:bidi="en-US"/>
    </w:rPr>
  </w:style>
  <w:style w:type="character" w:customStyle="1" w:styleId="apple-converted-space">
    <w:name w:val="apple-converted-space"/>
    <w:rsid w:val="00AD30DC"/>
  </w:style>
  <w:style w:type="paragraph" w:styleId="Bibliography">
    <w:name w:val="Bibliography"/>
    <w:basedOn w:val="Normal"/>
    <w:next w:val="Normal"/>
    <w:uiPriority w:val="37"/>
    <w:semiHidden/>
    <w:unhideWhenUsed/>
    <w:rsid w:val="00AD30DC"/>
  </w:style>
  <w:style w:type="paragraph" w:styleId="BodyText">
    <w:name w:val="Body Text"/>
    <w:link w:val="BodyTextChar"/>
    <w:rsid w:val="00AD30DC"/>
    <w:pPr>
      <w:spacing w:after="120" w:line="340" w:lineRule="atLeast"/>
      <w:ind w:left="720" w:right="475" w:firstLine="432"/>
      <w:jc w:val="both"/>
    </w:pPr>
    <w:rPr>
      <w:rFonts w:ascii="Palatino Linotype" w:eastAsia="SimSun" w:hAnsi="Palatino Linotype" w:cs="Times New Roman"/>
      <w:color w:val="000000"/>
      <w:sz w:val="24"/>
      <w:szCs w:val="20"/>
      <w:lang w:eastAsia="de-DE"/>
    </w:rPr>
  </w:style>
  <w:style w:type="character" w:customStyle="1" w:styleId="BodyTextChar">
    <w:name w:val="Body Text Char"/>
    <w:link w:val="BodyText"/>
    <w:rsid w:val="00AD30DC"/>
    <w:rPr>
      <w:rFonts w:ascii="Palatino Linotype" w:eastAsia="SimSun" w:hAnsi="Palatino Linotype" w:cs="Times New Roman"/>
      <w:color w:val="000000"/>
      <w:sz w:val="24"/>
      <w:szCs w:val="20"/>
      <w:lang w:eastAsia="de-DE"/>
    </w:rPr>
  </w:style>
  <w:style w:type="character" w:styleId="CommentReference">
    <w:name w:val="annotation reference"/>
    <w:rsid w:val="00AD30DC"/>
    <w:rPr>
      <w:sz w:val="21"/>
      <w:szCs w:val="21"/>
    </w:rPr>
  </w:style>
  <w:style w:type="paragraph" w:styleId="CommentText">
    <w:name w:val="annotation text"/>
    <w:basedOn w:val="Normal"/>
    <w:link w:val="CommentTextChar"/>
    <w:rsid w:val="00AD30DC"/>
  </w:style>
  <w:style w:type="character" w:customStyle="1" w:styleId="CommentTextChar">
    <w:name w:val="Comment Text Char"/>
    <w:link w:val="CommentText"/>
    <w:rsid w:val="00AD30DC"/>
    <w:rPr>
      <w:rFonts w:ascii="Palatino Linotype" w:eastAsia="SimSun" w:hAnsi="Palatino Linotype" w:cs="Times New Roman"/>
      <w:noProof/>
      <w:color w:val="000000"/>
      <w:sz w:val="20"/>
      <w:szCs w:val="20"/>
      <w:lang w:eastAsia="zh-CN"/>
    </w:rPr>
  </w:style>
  <w:style w:type="paragraph" w:styleId="CommentSubject">
    <w:name w:val="annotation subject"/>
    <w:basedOn w:val="CommentText"/>
    <w:next w:val="CommentText"/>
    <w:link w:val="CommentSubjectChar"/>
    <w:rsid w:val="00AD30DC"/>
    <w:rPr>
      <w:b/>
      <w:bCs/>
    </w:rPr>
  </w:style>
  <w:style w:type="character" w:customStyle="1" w:styleId="CommentSubjectChar">
    <w:name w:val="Comment Subject Char"/>
    <w:link w:val="CommentSubject"/>
    <w:rsid w:val="00AD30DC"/>
    <w:rPr>
      <w:rFonts w:ascii="Palatino Linotype" w:eastAsia="SimSun" w:hAnsi="Palatino Linotype" w:cs="Times New Roman"/>
      <w:b/>
      <w:bCs/>
      <w:noProof/>
      <w:color w:val="000000"/>
      <w:sz w:val="20"/>
      <w:szCs w:val="20"/>
      <w:lang w:eastAsia="zh-CN"/>
    </w:rPr>
  </w:style>
  <w:style w:type="character" w:styleId="EndnoteReference">
    <w:name w:val="endnote reference"/>
    <w:rsid w:val="00AD30DC"/>
    <w:rPr>
      <w:vertAlign w:val="superscript"/>
    </w:rPr>
  </w:style>
  <w:style w:type="paragraph" w:styleId="EndnoteText">
    <w:name w:val="endnote text"/>
    <w:basedOn w:val="Normal"/>
    <w:link w:val="EndnoteTextChar"/>
    <w:semiHidden/>
    <w:unhideWhenUsed/>
    <w:rsid w:val="00AD30DC"/>
    <w:pPr>
      <w:spacing w:line="240" w:lineRule="auto"/>
    </w:pPr>
  </w:style>
  <w:style w:type="character" w:customStyle="1" w:styleId="EndnoteTextChar">
    <w:name w:val="Endnote Text Char"/>
    <w:link w:val="EndnoteText"/>
    <w:semiHidden/>
    <w:rsid w:val="00AD30DC"/>
    <w:rPr>
      <w:rFonts w:ascii="Palatino Linotype" w:eastAsia="SimSun" w:hAnsi="Palatino Linotype" w:cs="Times New Roman"/>
      <w:noProof/>
      <w:color w:val="000000"/>
      <w:sz w:val="20"/>
      <w:szCs w:val="20"/>
      <w:lang w:eastAsia="zh-CN"/>
    </w:rPr>
  </w:style>
  <w:style w:type="character" w:styleId="FollowedHyperlink">
    <w:name w:val="FollowedHyperlink"/>
    <w:rsid w:val="00AD30DC"/>
    <w:rPr>
      <w:color w:val="954F72"/>
      <w:u w:val="single"/>
    </w:rPr>
  </w:style>
  <w:style w:type="paragraph" w:styleId="FootnoteText">
    <w:name w:val="footnote text"/>
    <w:basedOn w:val="Normal"/>
    <w:link w:val="FootnoteTextChar"/>
    <w:semiHidden/>
    <w:unhideWhenUsed/>
    <w:rsid w:val="00AD30DC"/>
    <w:pPr>
      <w:spacing w:line="240" w:lineRule="auto"/>
    </w:pPr>
  </w:style>
  <w:style w:type="character" w:customStyle="1" w:styleId="FootnoteTextChar">
    <w:name w:val="Footnote Text Char"/>
    <w:link w:val="FootnoteText"/>
    <w:semiHidden/>
    <w:rsid w:val="00AD30DC"/>
    <w:rPr>
      <w:rFonts w:ascii="Palatino Linotype" w:eastAsia="SimSun" w:hAnsi="Palatino Linotype" w:cs="Times New Roman"/>
      <w:noProof/>
      <w:color w:val="000000"/>
      <w:sz w:val="20"/>
      <w:szCs w:val="20"/>
      <w:lang w:eastAsia="zh-CN"/>
    </w:rPr>
  </w:style>
  <w:style w:type="paragraph" w:styleId="NormalWeb">
    <w:name w:val="Normal (Web)"/>
    <w:basedOn w:val="Normal"/>
    <w:uiPriority w:val="99"/>
    <w:rsid w:val="00AD30DC"/>
    <w:rPr>
      <w:szCs w:val="24"/>
    </w:rPr>
  </w:style>
  <w:style w:type="paragraph" w:customStyle="1" w:styleId="MsoFootnoteText0">
    <w:name w:val="MsoFootnoteText"/>
    <w:basedOn w:val="NormalWeb"/>
    <w:qFormat/>
    <w:rsid w:val="00AD30DC"/>
    <w:rPr>
      <w:rFonts w:ascii="Times New Roman" w:hAnsi="Times New Roman"/>
    </w:rPr>
  </w:style>
  <w:style w:type="character" w:styleId="PageNumber">
    <w:name w:val="page number"/>
    <w:rsid w:val="00AD30DC"/>
  </w:style>
  <w:style w:type="character" w:styleId="PlaceholderText">
    <w:name w:val="Placeholder Text"/>
    <w:uiPriority w:val="99"/>
    <w:semiHidden/>
    <w:rsid w:val="00AD30DC"/>
    <w:rPr>
      <w:color w:val="808080"/>
    </w:rPr>
  </w:style>
  <w:style w:type="paragraph" w:customStyle="1" w:styleId="MDPI71FootNotes">
    <w:name w:val="MDPI_7.1_FootNotes"/>
    <w:qFormat/>
    <w:rsid w:val="00AD30DC"/>
    <w:pPr>
      <w:numPr>
        <w:numId w:val="13"/>
      </w:numPr>
      <w:adjustRightInd w:val="0"/>
      <w:snapToGrid w:val="0"/>
      <w:spacing w:after="0" w:line="228" w:lineRule="auto"/>
      <w:ind w:right="475"/>
      <w:jc w:val="both"/>
    </w:pPr>
    <w:rPr>
      <w:rFonts w:ascii="Palatino Linotype" w:eastAsiaTheme="minorEastAsia" w:hAnsi="Palatino Linotype" w:cs="Times New Roman"/>
      <w:noProof/>
      <w:color w:val="000000"/>
      <w:sz w:val="18"/>
      <w:szCs w:val="20"/>
      <w:lang w:eastAsia="zh-CN"/>
    </w:rPr>
  </w:style>
  <w:style w:type="table" w:customStyle="1" w:styleId="ListTable6Colorful1">
    <w:name w:val="List Table 6 Colorful1"/>
    <w:basedOn w:val="TableNormal"/>
    <w:uiPriority w:val="51"/>
    <w:rsid w:val="00AD30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link w:val="BodyChar"/>
    <w:rsid w:val="00AD30DC"/>
    <w:pPr>
      <w:pBdr>
        <w:top w:val="nil"/>
        <w:left w:val="nil"/>
        <w:bottom w:val="nil"/>
        <w:right w:val="nil"/>
        <w:between w:val="nil"/>
        <w:bar w:val="nil"/>
      </w:pBdr>
      <w:spacing w:after="0" w:line="228" w:lineRule="auto"/>
      <w:ind w:left="720" w:right="475" w:firstLine="432"/>
      <w:jc w:val="both"/>
    </w:pPr>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style>
  <w:style w:type="paragraph" w:styleId="ListParagraph">
    <w:name w:val="List Paragraph"/>
    <w:link w:val="ListParagraphChar"/>
    <w:rsid w:val="00AD30DC"/>
    <w:pPr>
      <w:pBdr>
        <w:top w:val="nil"/>
        <w:left w:val="nil"/>
        <w:bottom w:val="nil"/>
        <w:right w:val="nil"/>
        <w:between w:val="nil"/>
        <w:bar w:val="nil"/>
      </w:pBdr>
      <w:spacing w:after="0" w:line="228" w:lineRule="auto"/>
      <w:ind w:left="720" w:right="475" w:firstLine="432"/>
      <w:jc w:val="both"/>
    </w:pPr>
    <w:rPr>
      <w:rFonts w:ascii="Palatino Linotype" w:eastAsia="Palatino Linotype" w:hAnsi="Palatino Linotype" w:cs="Palatino Linotype"/>
      <w:color w:val="000000"/>
      <w:sz w:val="20"/>
      <w:szCs w:val="20"/>
      <w:u w:color="000000"/>
      <w:bdr w:val="nil"/>
    </w:rPr>
  </w:style>
  <w:style w:type="numbering" w:customStyle="1" w:styleId="ImportedStyle1">
    <w:name w:val="Imported Style 1"/>
    <w:rsid w:val="00AD30DC"/>
    <w:pPr>
      <w:numPr>
        <w:numId w:val="20"/>
      </w:numPr>
    </w:pPr>
  </w:style>
  <w:style w:type="character" w:customStyle="1" w:styleId="ListParagraphChar">
    <w:name w:val="List Paragraph Char"/>
    <w:basedOn w:val="DefaultParagraphFont"/>
    <w:link w:val="ListParagraph"/>
    <w:rsid w:val="00AD30DC"/>
    <w:rPr>
      <w:rFonts w:ascii="Palatino Linotype" w:eastAsia="Palatino Linotype" w:hAnsi="Palatino Linotype" w:cs="Palatino Linotype"/>
      <w:color w:val="000000"/>
      <w:sz w:val="20"/>
      <w:szCs w:val="20"/>
      <w:u w:color="000000"/>
      <w:bdr w:val="nil"/>
    </w:rPr>
  </w:style>
  <w:style w:type="paragraph" w:customStyle="1" w:styleId="EndNoteBibliography">
    <w:name w:val="EndNote Bibliography"/>
    <w:basedOn w:val="Normal"/>
    <w:link w:val="EndNoteBibliographyChar"/>
    <w:rsid w:val="00AD30DC"/>
    <w:pPr>
      <w:pBdr>
        <w:top w:val="nil"/>
        <w:left w:val="nil"/>
        <w:bottom w:val="nil"/>
        <w:right w:val="nil"/>
        <w:between w:val="nil"/>
        <w:bar w:val="nil"/>
      </w:pBdr>
      <w:spacing w:line="240" w:lineRule="auto"/>
      <w:ind w:left="0" w:right="0" w:firstLine="0"/>
    </w:pPr>
    <w:rPr>
      <w:rFonts w:eastAsia="Arial Unicode MS" w:cs="Palatino Linotype"/>
      <w:szCs w:val="24"/>
      <w:u w:color="000000"/>
      <w:bdr w:val="nil"/>
      <w:lang w:eastAsia="en-US"/>
    </w:rPr>
  </w:style>
  <w:style w:type="character" w:customStyle="1" w:styleId="EndNoteBibliographyChar">
    <w:name w:val="EndNote Bibliography Char"/>
    <w:basedOn w:val="ListParagraphChar"/>
    <w:link w:val="EndNoteBibliography"/>
    <w:rsid w:val="00AD30DC"/>
    <w:rPr>
      <w:rFonts w:ascii="Palatino Linotype" w:eastAsia="Arial Unicode MS" w:hAnsi="Palatino Linotype" w:cs="Palatino Linotype"/>
      <w:noProof/>
      <w:color w:val="000000"/>
      <w:sz w:val="20"/>
      <w:szCs w:val="24"/>
      <w:u w:color="000000"/>
      <w:bdr w:val="nil"/>
    </w:rPr>
  </w:style>
  <w:style w:type="paragraph" w:customStyle="1" w:styleId="EndNoteBibliographyTitle">
    <w:name w:val="EndNote Bibliography Title"/>
    <w:basedOn w:val="Normal"/>
    <w:link w:val="EndNoteBibliographyTitleChar"/>
    <w:rsid w:val="00AD30DC"/>
    <w:pPr>
      <w:jc w:val="center"/>
    </w:pPr>
    <w:rPr>
      <w:u w:color="000000"/>
      <w:bdr w:val="nil"/>
      <w14:textOutline w14:w="0" w14:cap="flat" w14:cmpd="sng" w14:algn="ctr">
        <w14:noFill/>
        <w14:prstDash w14:val="solid"/>
        <w14:bevel/>
      </w14:textOutline>
    </w:rPr>
  </w:style>
  <w:style w:type="character" w:customStyle="1" w:styleId="BodyChar">
    <w:name w:val="Body Char"/>
    <w:basedOn w:val="DefaultParagraphFont"/>
    <w:link w:val="Body"/>
    <w:rsid w:val="00AD30D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AD30DC"/>
    <w:rPr>
      <w:rFonts w:ascii="Palatino Linotype" w:eastAsia="SimSun" w:hAnsi="Palatino Linotype" w:cs="Times New Roman"/>
      <w:noProof/>
      <w:color w:val="000000"/>
      <w:sz w:val="20"/>
      <w:szCs w:val="20"/>
      <w:u w:color="000000"/>
      <w:bdr w:val="nil"/>
      <w:lang w:eastAsia="zh-CN"/>
      <w14:textOutline w14:w="0" w14:cap="flat" w14:cmpd="sng" w14:algn="ctr">
        <w14:noFill/>
        <w14:prstDash w14:val="solid"/>
        <w14:bevel/>
      </w14:textOutline>
    </w:rPr>
  </w:style>
  <w:style w:type="paragraph" w:styleId="Revision">
    <w:name w:val="Revision"/>
    <w:hidden/>
    <w:uiPriority w:val="99"/>
    <w:semiHidden/>
    <w:rsid w:val="00AD30DC"/>
    <w:pPr>
      <w:spacing w:after="0" w:line="240" w:lineRule="auto"/>
    </w:pPr>
    <w:rPr>
      <w:rFonts w:ascii="Palatino Linotype" w:eastAsia="SimSun" w:hAnsi="Palatino Linotype" w:cs="Times New Roman"/>
      <w:noProof/>
      <w:color w:val="000000"/>
      <w:sz w:val="20"/>
      <w:szCs w:val="20"/>
      <w:lang w:eastAsia="zh-CN"/>
    </w:rPr>
  </w:style>
  <w:style w:type="paragraph" w:styleId="NoSpacing">
    <w:name w:val="No Spacing"/>
    <w:uiPriority w:val="1"/>
    <w:qFormat/>
    <w:rsid w:val="00CC3469"/>
    <w:pPr>
      <w:spacing w:after="0" w:line="240" w:lineRule="auto"/>
    </w:pPr>
    <w:rPr>
      <w:rFonts w:ascii="Cambria" w:eastAsia="MS ??" w:hAnsi="Cambria" w:cs="Times New Roman"/>
      <w:sz w:val="24"/>
      <w:szCs w:val="24"/>
    </w:rPr>
  </w:style>
  <w:style w:type="table" w:customStyle="1" w:styleId="1">
    <w:name w:val="شبكة جدول1"/>
    <w:basedOn w:val="TableNormal"/>
    <w:next w:val="TableGrid"/>
    <w:uiPriority w:val="59"/>
    <w:rsid w:val="00761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6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2821">
      <w:bodyDiv w:val="1"/>
      <w:marLeft w:val="0"/>
      <w:marRight w:val="0"/>
      <w:marTop w:val="0"/>
      <w:marBottom w:val="0"/>
      <w:divBdr>
        <w:top w:val="none" w:sz="0" w:space="0" w:color="auto"/>
        <w:left w:val="none" w:sz="0" w:space="0" w:color="auto"/>
        <w:bottom w:val="none" w:sz="0" w:space="0" w:color="auto"/>
        <w:right w:val="none" w:sz="0" w:space="0" w:color="auto"/>
      </w:divBdr>
    </w:div>
    <w:div w:id="1348485482">
      <w:bodyDiv w:val="1"/>
      <w:marLeft w:val="0"/>
      <w:marRight w:val="0"/>
      <w:marTop w:val="0"/>
      <w:marBottom w:val="0"/>
      <w:divBdr>
        <w:top w:val="none" w:sz="0" w:space="0" w:color="auto"/>
        <w:left w:val="none" w:sz="0" w:space="0" w:color="auto"/>
        <w:bottom w:val="none" w:sz="0" w:space="0" w:color="auto"/>
        <w:right w:val="none" w:sz="0" w:space="0" w:color="auto"/>
      </w:divBdr>
    </w:div>
    <w:div w:id="170173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6477/jbcd.v34i1.3087" TargetMode="External"/><Relationship Id="rId21" Type="http://schemas.openxmlformats.org/officeDocument/2006/relationships/hyperlink" Target="https://doi.org/10.1186/1472-6831-13-3" TargetMode="External"/><Relationship Id="rId34" Type="http://schemas.openxmlformats.org/officeDocument/2006/relationships/hyperlink" Target="https://doi.org/10.1016/0002-9416(53)90082-7" TargetMode="External"/><Relationship Id="rId42" Type="http://schemas.openxmlformats.org/officeDocument/2006/relationships/hyperlink" Target="https://doi.org/10.1055/s-0042-1744371" TargetMode="External"/><Relationship Id="rId47" Type="http://schemas.openxmlformats.org/officeDocument/2006/relationships/hyperlink" Target="https://doi.org/10.4081/ejh.2013.e39" TargetMode="External"/><Relationship Id="rId50" Type="http://schemas.openxmlformats.org/officeDocument/2006/relationships/hyperlink" Target="https://doi.org/10.18632/oncotarget.14109" TargetMode="External"/><Relationship Id="rId55" Type="http://schemas.openxmlformats.org/officeDocument/2006/relationships/hyperlink" Target="https://doi.org/10.1242/dev.129.16.3783"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016/j.sjbs.2022.103405" TargetMode="External"/><Relationship Id="rId11" Type="http://schemas.openxmlformats.org/officeDocument/2006/relationships/hyperlink" Target="mailto:mushriq.abid@codental.uobaghdad.edu.iq" TargetMode="External"/><Relationship Id="rId24" Type="http://schemas.openxmlformats.org/officeDocument/2006/relationships/hyperlink" Target="https://doi.org/10.1111/ocr.12083" TargetMode="External"/><Relationship Id="rId32" Type="http://schemas.openxmlformats.org/officeDocument/2006/relationships/hyperlink" Target="https://doi.org/10.1016/j.ajog.2017.12.009" TargetMode="External"/><Relationship Id="rId37" Type="http://schemas.openxmlformats.org/officeDocument/2006/relationships/hyperlink" Target="https://doi.org/10.1093/ejo/cjn035" TargetMode="External"/><Relationship Id="rId40" Type="http://schemas.openxmlformats.org/officeDocument/2006/relationships/hyperlink" Target="https://doi.org/10.1016/j.archoralbio.2018.09.018" TargetMode="External"/><Relationship Id="rId45" Type="http://schemas.openxmlformats.org/officeDocument/2006/relationships/hyperlink" Target="https://doi.org/10.1177/0022034519872951" TargetMode="External"/><Relationship Id="rId53" Type="http://schemas.openxmlformats.org/officeDocument/2006/relationships/hyperlink" Target="https://doi.org/10.4049/jimmunol.1601667" TargetMode="External"/><Relationship Id="rId58" Type="http://schemas.openxmlformats.org/officeDocument/2006/relationships/hyperlink" Target="https://doi.org/10.1002/bies.200900181"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creativecommons.org/licenses/by/4.0/" TargetMode="External"/><Relationship Id="rId22" Type="http://schemas.openxmlformats.org/officeDocument/2006/relationships/hyperlink" Target="https://doi.org/10.3390/diagnostics12102352" TargetMode="External"/><Relationship Id="rId27" Type="http://schemas.openxmlformats.org/officeDocument/2006/relationships/hyperlink" Target="https://doi.org/10.1093/ortho/26.2.103" TargetMode="External"/><Relationship Id="rId30" Type="http://schemas.openxmlformats.org/officeDocument/2006/relationships/hyperlink" Target="https://doi.org/10.1056/NEJMra0905980" TargetMode="External"/><Relationship Id="rId35" Type="http://schemas.openxmlformats.org/officeDocument/2006/relationships/hyperlink" Target="https://doi.org/10.1186/s12903-016-0308-7" TargetMode="External"/><Relationship Id="rId43" Type="http://schemas.openxmlformats.org/officeDocument/2006/relationships/hyperlink" Target="https://doi.org/10.2298/GENSR2202777M" TargetMode="External"/><Relationship Id="rId48" Type="http://schemas.openxmlformats.org/officeDocument/2006/relationships/hyperlink" Target="https://doi.org/10.1371/journal.pone.0045768" TargetMode="External"/><Relationship Id="rId56" Type="http://schemas.openxmlformats.org/officeDocument/2006/relationships/hyperlink" Target="https://doi.org/10.1074/jbc.M314323200" TargetMode="External"/><Relationship Id="rId64" Type="http://schemas.openxmlformats.org/officeDocument/2006/relationships/fontTable" Target="fontTable.xml"/><Relationship Id="rId8" Type="http://schemas.openxmlformats.org/officeDocument/2006/relationships/hyperlink" Target="https://orcid.org/0009-0009-2649-9587" TargetMode="External"/><Relationship Id="rId51" Type="http://schemas.openxmlformats.org/officeDocument/2006/relationships/hyperlink" Target="https://doi.org/10.1016/j.ajodo.2016.09.013" TargetMode="External"/><Relationship Id="rId3" Type="http://schemas.openxmlformats.org/officeDocument/2006/relationships/styles" Target="styles.xml"/><Relationship Id="rId12" Type="http://schemas.openxmlformats.org/officeDocument/2006/relationships/hyperlink" Target="file:///F:\Pilot%20study%20paper\baghdad%20dental%20journal\ensahafi@uqu.edu.sa" TargetMode="External"/><Relationship Id="rId17" Type="http://schemas.openxmlformats.org/officeDocument/2006/relationships/image" Target="media/image5.png"/><Relationship Id="rId25" Type="http://schemas.openxmlformats.org/officeDocument/2006/relationships/hyperlink" Target="https://doi.org/10.1016/j.ajodo.2007.10.061" TargetMode="External"/><Relationship Id="rId33" Type="http://schemas.openxmlformats.org/officeDocument/2006/relationships/hyperlink" Target="https://doi.org/10.1002/gepi.20410" TargetMode="External"/><Relationship Id="rId38" Type="http://schemas.openxmlformats.org/officeDocument/2006/relationships/hyperlink" Target="https://doi.org/10.1093/ejo/5.1.1" TargetMode="External"/><Relationship Id="rId46" Type="http://schemas.openxmlformats.org/officeDocument/2006/relationships/hyperlink" Target="https://doi.org/10.1016/j.ijom.2016.06.010" TargetMode="External"/><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doi.org/10.1177/0022034515581643" TargetMode="External"/><Relationship Id="rId54" Type="http://schemas.openxmlformats.org/officeDocument/2006/relationships/hyperlink" Target="https://doi.org/10.1038/ng.580"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2816/0033214" TargetMode="External"/><Relationship Id="rId28" Type="http://schemas.openxmlformats.org/officeDocument/2006/relationships/hyperlink" Target="https://doi.org/10.1111/j.1601-6343.2010.01485.x" TargetMode="External"/><Relationship Id="rId36" Type="http://schemas.openxmlformats.org/officeDocument/2006/relationships/hyperlink" Target="https://doi.org/10.1016/j.jormas.2020.07.002" TargetMode="External"/><Relationship Id="rId49" Type="http://schemas.openxmlformats.org/officeDocument/2006/relationships/hyperlink" Target="https://doi.org/10.1597/12-260" TargetMode="External"/><Relationship Id="rId57" Type="http://schemas.openxmlformats.org/officeDocument/2006/relationships/hyperlink" Target="https://doi.org/10.1242/dev.125.7.1241" TargetMode="External"/><Relationship Id="rId10" Type="http://schemas.openxmlformats.org/officeDocument/2006/relationships/hyperlink" Target="mailto:oqil.moslem1203a@codental.uobaghdad.edu.iq" TargetMode="External"/><Relationship Id="rId31" Type="http://schemas.openxmlformats.org/officeDocument/2006/relationships/hyperlink" Target="https://doi.org/10.3389/fphar.2013.00040" TargetMode="External"/><Relationship Id="rId44" Type="http://schemas.openxmlformats.org/officeDocument/2006/relationships/hyperlink" Target="https://doi.org/10.1097/MD.0000000000007240" TargetMode="External"/><Relationship Id="rId52" Type="http://schemas.openxmlformats.org/officeDocument/2006/relationships/hyperlink" Target="https://doi.org/10.1111/j.1601-0825.2005.01176.x"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org/10.1097/SCS.0000000000003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8ED79-D1E3-4240-9106-A07643E8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27754</Words>
  <Characters>158203</Characters>
  <Application>Microsoft Office Word</Application>
  <DocSecurity>0</DocSecurity>
  <Lines>1318</Lines>
  <Paragraphs>371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185586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Writefull</cp:lastModifiedBy>
  <cp:revision>11</cp:revision>
  <dcterms:created xsi:type="dcterms:W3CDTF">2023-10-19T15:02:00Z</dcterms:created>
  <dcterms:modified xsi:type="dcterms:W3CDTF">2024-06-13T08:45:00Z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http://csl.mendeley.com/styles/650926951/harvard-cite-them-right</vt:lpwstr>
  </property>
  <property fmtid="{D5CDD505-2E9C-101B-9397-08002B2CF9AE}" pid="9" name="Mendeley Recent Style Name 3_1">
    <vt:lpwstr>Baghdad dentistry college - Harvard - Aqeel M Bahya</vt:lpwstr>
  </property>
  <property fmtid="{D5CDD505-2E9C-101B-9397-08002B2CF9AE}" pid="10" name="Mendeley Recent Style Id 4_1">
    <vt:lpwstr>http://csl.mendeley.com/styles/650926951/harvard-dundalk-institute-of-technology</vt:lpwstr>
  </property>
  <property fmtid="{D5CDD505-2E9C-101B-9397-08002B2CF9AE}" pid="11" name="Mendeley Recent Style Name 4_1">
    <vt:lpwstr>Baghdad university college of dentistry - Harvard - Aqeel M Bahya</vt:lpwstr>
  </property>
  <property fmtid="{D5CDD505-2E9C-101B-9397-08002B2CF9AE}" pid="12" name="Mendeley Recent Style Id 5_1">
    <vt:lpwstr>https://csl.mendeley.com/styles/650926951/harvard-dundalk-institute-of-technology</vt:lpwstr>
  </property>
  <property fmtid="{D5CDD505-2E9C-101B-9397-08002B2CF9AE}" pid="13" name="Mendeley Recent Style Name 5_1">
    <vt:lpwstr>Baghdad university college of dentistry 1 - Harvard - Aqeel M Bahya</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http://www.zotero.org/styles/harvard-dundalk-institute-of-technology</vt:lpwstr>
  </property>
  <property fmtid="{D5CDD505-2E9C-101B-9397-08002B2CF9AE}" pid="17" name="Mendeley Recent Style Name 7_1">
    <vt:lpwstr>Dundalk Institute of Technology - Harvard</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http://www.zotero.org/styles/ieee</vt:lpwstr>
  </property>
  <property fmtid="{D5CDD505-2E9C-101B-9397-08002B2CF9AE}" pid="21" name="Mendeley Recent Style Name 9_1">
    <vt:lpwstr>IEEE</vt:lpwstr>
  </property>
  <property fmtid="{D5CDD505-2E9C-101B-9397-08002B2CF9AE}" pid="22" name="Mendeley Document_1">
    <vt:lpwstr>True</vt:lpwstr>
  </property>
  <property fmtid="{D5CDD505-2E9C-101B-9397-08002B2CF9AE}" pid="23" name="Mendeley Unique User Id_1">
    <vt:lpwstr>21a54fe9-d008-3315-9a04-d904bb44a21e</vt:lpwstr>
  </property>
  <property fmtid="{D5CDD505-2E9C-101B-9397-08002B2CF9AE}" pid="24" name="Mendeley Citation Style_1">
    <vt:lpwstr>http://www.zotero.org/styles/american-medical-association</vt:lpwstr>
  </property>
</Properties>
</file>